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BDD0" w14:textId="77777777" w:rsidR="00715B23" w:rsidRDefault="00715B23" w:rsidP="00BB618F">
      <w:pPr>
        <w:spacing w:before="0"/>
        <w:jc w:val="center"/>
        <w:rPr>
          <w:rFonts w:ascii="Times New Roman" w:hAnsi="Times New Roman" w:cs="Times New Roman"/>
          <w:b/>
          <w:bCs/>
          <w:sz w:val="20"/>
          <w:szCs w:val="20"/>
        </w:rPr>
      </w:pPr>
      <w:r w:rsidRPr="00E07052">
        <w:rPr>
          <w:noProof/>
          <w:lang w:val="en-US"/>
        </w:rPr>
        <w:drawing>
          <wp:inline distT="0" distB="0" distL="0" distR="0" wp14:anchorId="75488135" wp14:editId="333760E4">
            <wp:extent cx="7429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inline>
        </w:drawing>
      </w:r>
    </w:p>
    <w:p w14:paraId="475AC2C9" w14:textId="77777777" w:rsidR="00715B23" w:rsidRDefault="00715B23" w:rsidP="00BB618F">
      <w:pPr>
        <w:spacing w:before="0"/>
        <w:jc w:val="center"/>
        <w:rPr>
          <w:rFonts w:ascii="Times New Roman" w:hAnsi="Times New Roman" w:cs="Times New Roman"/>
          <w:b/>
          <w:bCs/>
          <w:sz w:val="20"/>
          <w:szCs w:val="20"/>
        </w:rPr>
      </w:pPr>
    </w:p>
    <w:p w14:paraId="08317B77" w14:textId="7B88BA29"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COURSE UNIT DESCRIPTION</w:t>
      </w:r>
    </w:p>
    <w:p w14:paraId="6D5A4531" w14:textId="77777777" w:rsidR="00E85350" w:rsidRPr="005C6DA5" w:rsidRDefault="00E85350" w:rsidP="00BB618F">
      <w:pPr>
        <w:spacing w:before="0"/>
        <w:jc w:val="center"/>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407"/>
      </w:tblGrid>
      <w:tr w:rsidR="00E85350" w:rsidRPr="005C6DA5" w14:paraId="2C52DE60" w14:textId="77777777">
        <w:tc>
          <w:tcPr>
            <w:tcW w:w="3750" w:type="pct"/>
            <w:shd w:val="clear" w:color="auto" w:fill="E6E6E6"/>
          </w:tcPr>
          <w:p w14:paraId="3B1D5526"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Course unit title</w:t>
            </w:r>
          </w:p>
        </w:tc>
        <w:tc>
          <w:tcPr>
            <w:tcW w:w="1250" w:type="pct"/>
            <w:shd w:val="clear" w:color="auto" w:fill="E6E6E6"/>
          </w:tcPr>
          <w:p w14:paraId="6F585F74"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Code</w:t>
            </w:r>
          </w:p>
        </w:tc>
      </w:tr>
      <w:tr w:rsidR="00E85350" w:rsidRPr="005C6DA5" w14:paraId="5F726DA2" w14:textId="77777777">
        <w:tc>
          <w:tcPr>
            <w:tcW w:w="3750" w:type="pct"/>
          </w:tcPr>
          <w:p w14:paraId="0229DED2" w14:textId="2A14728A"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 xml:space="preserve">Pharmacology </w:t>
            </w:r>
            <w:r w:rsidR="00C2079E">
              <w:rPr>
                <w:rFonts w:ascii="Times New Roman" w:hAnsi="Times New Roman" w:cs="Times New Roman"/>
                <w:b/>
                <w:bCs/>
                <w:sz w:val="20"/>
                <w:szCs w:val="20"/>
              </w:rPr>
              <w:t>I/II</w:t>
            </w:r>
          </w:p>
        </w:tc>
        <w:tc>
          <w:tcPr>
            <w:tcW w:w="1250" w:type="pct"/>
          </w:tcPr>
          <w:p w14:paraId="1B55DEE1" w14:textId="77777777" w:rsidR="00E85350" w:rsidRPr="005C6DA5" w:rsidRDefault="00E85350" w:rsidP="00EE71B3">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FARM2115</w:t>
            </w:r>
          </w:p>
          <w:p w14:paraId="4854273F" w14:textId="77777777" w:rsidR="00E85350" w:rsidRPr="005C6DA5" w:rsidRDefault="00E85350" w:rsidP="00EE71B3">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FARM2215</w:t>
            </w:r>
          </w:p>
        </w:tc>
      </w:tr>
    </w:tbl>
    <w:p w14:paraId="43E4C036" w14:textId="77777777" w:rsidR="00E85350" w:rsidRPr="005C6DA5" w:rsidRDefault="00E85350" w:rsidP="00BB618F">
      <w:pPr>
        <w:spacing w:before="0"/>
        <w:jc w:val="both"/>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150"/>
      </w:tblGrid>
      <w:tr w:rsidR="00E85350" w:rsidRPr="005C6DA5" w14:paraId="528965B2" w14:textId="77777777">
        <w:tc>
          <w:tcPr>
            <w:tcW w:w="6598" w:type="dxa"/>
            <w:shd w:val="clear" w:color="auto" w:fill="E6E6E6"/>
          </w:tcPr>
          <w:p w14:paraId="39AEA1B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Lecturer(s)</w:t>
            </w:r>
          </w:p>
        </w:tc>
        <w:tc>
          <w:tcPr>
            <w:tcW w:w="3190" w:type="dxa"/>
            <w:shd w:val="clear" w:color="auto" w:fill="E6E6E6"/>
          </w:tcPr>
          <w:p w14:paraId="7B7F0255"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Department(s)</w:t>
            </w:r>
          </w:p>
        </w:tc>
      </w:tr>
      <w:tr w:rsidR="00E85350" w:rsidRPr="005C6DA5" w14:paraId="3826DC41" w14:textId="77777777">
        <w:tc>
          <w:tcPr>
            <w:tcW w:w="6598" w:type="dxa"/>
          </w:tcPr>
          <w:p w14:paraId="7C0F5060" w14:textId="60A112A3" w:rsidR="00E85350" w:rsidRPr="005C6DA5" w:rsidRDefault="00E85350" w:rsidP="00145FC4">
            <w:pPr>
              <w:spacing w:before="0"/>
              <w:jc w:val="both"/>
              <w:rPr>
                <w:rFonts w:ascii="Times New Roman" w:hAnsi="Times New Roman" w:cs="Times New Roman"/>
                <w:sz w:val="20"/>
                <w:szCs w:val="20"/>
              </w:rPr>
            </w:pPr>
            <w:r w:rsidRPr="005C6DA5">
              <w:rPr>
                <w:rFonts w:ascii="Times New Roman" w:hAnsi="Times New Roman" w:cs="Times New Roman"/>
                <w:b/>
                <w:bCs/>
                <w:sz w:val="20"/>
                <w:szCs w:val="20"/>
              </w:rPr>
              <w:t>Coordinating</w:t>
            </w:r>
            <w:r w:rsidRPr="005C6DA5">
              <w:rPr>
                <w:rFonts w:ascii="Times New Roman" w:hAnsi="Times New Roman" w:cs="Times New Roman"/>
                <w:sz w:val="20"/>
                <w:szCs w:val="20"/>
              </w:rPr>
              <w:t xml:space="preserve">: </w:t>
            </w:r>
            <w:r w:rsidR="00E50649" w:rsidRPr="005C6DA5">
              <w:rPr>
                <w:rFonts w:ascii="Times New Roman" w:hAnsi="Times New Roman" w:cs="Times New Roman"/>
                <w:sz w:val="20"/>
                <w:szCs w:val="20"/>
              </w:rPr>
              <w:t>Lect.</w:t>
            </w:r>
            <w:r w:rsidR="0050664E" w:rsidRPr="005C6DA5">
              <w:rPr>
                <w:rFonts w:ascii="Times New Roman" w:hAnsi="Times New Roman" w:cs="Times New Roman"/>
                <w:sz w:val="20"/>
                <w:szCs w:val="20"/>
              </w:rPr>
              <w:t xml:space="preserve"> </w:t>
            </w:r>
            <w:proofErr w:type="spellStart"/>
            <w:r w:rsidR="0050664E" w:rsidRPr="005C6DA5">
              <w:rPr>
                <w:rFonts w:ascii="Times New Roman" w:hAnsi="Times New Roman" w:cs="Times New Roman"/>
                <w:sz w:val="20"/>
                <w:szCs w:val="20"/>
              </w:rPr>
              <w:t>Armantas</w:t>
            </w:r>
            <w:proofErr w:type="spellEnd"/>
            <w:r w:rsidR="0050664E" w:rsidRPr="005C6DA5">
              <w:rPr>
                <w:rFonts w:ascii="Times New Roman" w:hAnsi="Times New Roman" w:cs="Times New Roman"/>
                <w:sz w:val="20"/>
                <w:szCs w:val="20"/>
              </w:rPr>
              <w:t xml:space="preserve"> </w:t>
            </w:r>
            <w:proofErr w:type="spellStart"/>
            <w:r w:rsidR="0050664E" w:rsidRPr="005C6DA5">
              <w:rPr>
                <w:rFonts w:ascii="Times New Roman" w:hAnsi="Times New Roman" w:cs="Times New Roman"/>
                <w:sz w:val="20"/>
                <w:szCs w:val="20"/>
              </w:rPr>
              <w:t>Gintautas</w:t>
            </w:r>
            <w:proofErr w:type="spellEnd"/>
          </w:p>
          <w:p w14:paraId="728B7699" w14:textId="77777777" w:rsidR="00E85350" w:rsidRPr="005C6DA5" w:rsidRDefault="00E85350" w:rsidP="0050664E">
            <w:pPr>
              <w:spacing w:before="0"/>
              <w:jc w:val="both"/>
              <w:rPr>
                <w:rFonts w:ascii="Times New Roman" w:hAnsi="Times New Roman" w:cs="Times New Roman"/>
                <w:sz w:val="20"/>
                <w:szCs w:val="20"/>
              </w:rPr>
            </w:pPr>
            <w:r w:rsidRPr="005C6DA5">
              <w:rPr>
                <w:rFonts w:ascii="Times New Roman" w:hAnsi="Times New Roman" w:cs="Times New Roman"/>
                <w:b/>
                <w:bCs/>
                <w:sz w:val="20"/>
                <w:szCs w:val="20"/>
              </w:rPr>
              <w:t>Others:</w:t>
            </w:r>
            <w:r w:rsidR="00B47715">
              <w:rPr>
                <w:rFonts w:ascii="Times New Roman" w:hAnsi="Times New Roman" w:cs="Times New Roman"/>
                <w:b/>
                <w:bCs/>
                <w:sz w:val="20"/>
                <w:szCs w:val="20"/>
              </w:rPr>
              <w:t xml:space="preserve"> </w:t>
            </w:r>
            <w:r w:rsidR="00B47715" w:rsidRPr="00B47715">
              <w:rPr>
                <w:rFonts w:ascii="Times New Roman" w:hAnsi="Times New Roman" w:cs="Times New Roman"/>
                <w:bCs/>
                <w:color w:val="000000" w:themeColor="text1"/>
                <w:sz w:val="20"/>
                <w:szCs w:val="20"/>
              </w:rPr>
              <w:t>L</w:t>
            </w:r>
            <w:r w:rsidR="00787725" w:rsidRPr="00B47715">
              <w:rPr>
                <w:rFonts w:ascii="Times New Roman" w:hAnsi="Times New Roman" w:cs="Times New Roman"/>
                <w:bCs/>
                <w:color w:val="000000" w:themeColor="text1"/>
                <w:sz w:val="20"/>
                <w:szCs w:val="20"/>
              </w:rPr>
              <w:t xml:space="preserve">ect. </w:t>
            </w:r>
            <w:proofErr w:type="spellStart"/>
            <w:r w:rsidR="00787725" w:rsidRPr="00B47715">
              <w:rPr>
                <w:rFonts w:ascii="Times New Roman" w:hAnsi="Times New Roman" w:cs="Times New Roman"/>
                <w:bCs/>
                <w:color w:val="000000" w:themeColor="text1"/>
                <w:sz w:val="20"/>
                <w:szCs w:val="20"/>
              </w:rPr>
              <w:t>Dr.</w:t>
            </w:r>
            <w:proofErr w:type="spellEnd"/>
            <w:r w:rsidR="00787725" w:rsidRPr="00B47715">
              <w:rPr>
                <w:rFonts w:ascii="Times New Roman" w:hAnsi="Times New Roman" w:cs="Times New Roman"/>
                <w:bCs/>
                <w:color w:val="000000" w:themeColor="text1"/>
                <w:sz w:val="20"/>
                <w:szCs w:val="20"/>
              </w:rPr>
              <w:t xml:space="preserve"> Tomas </w:t>
            </w:r>
            <w:proofErr w:type="spellStart"/>
            <w:r w:rsidR="00787725" w:rsidRPr="00B47715">
              <w:rPr>
                <w:rFonts w:ascii="Times New Roman" w:hAnsi="Times New Roman" w:cs="Times New Roman"/>
                <w:bCs/>
                <w:color w:val="000000" w:themeColor="text1"/>
                <w:sz w:val="20"/>
                <w:szCs w:val="20"/>
              </w:rPr>
              <w:t>Janušonis</w:t>
            </w:r>
            <w:proofErr w:type="spellEnd"/>
          </w:p>
        </w:tc>
        <w:tc>
          <w:tcPr>
            <w:tcW w:w="3190" w:type="dxa"/>
          </w:tcPr>
          <w:p w14:paraId="6B51B202"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Department of Pathology, Forensic medicine and Pharmacology</w:t>
            </w:r>
          </w:p>
        </w:tc>
      </w:tr>
    </w:tbl>
    <w:p w14:paraId="45DC883F" w14:textId="77777777" w:rsidR="00E85350" w:rsidRPr="005C6DA5" w:rsidRDefault="00E85350"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8"/>
        <w:gridCol w:w="3212"/>
      </w:tblGrid>
      <w:tr w:rsidR="00E85350" w:rsidRPr="005C6DA5" w14:paraId="12F52405" w14:textId="77777777">
        <w:tc>
          <w:tcPr>
            <w:tcW w:w="833" w:type="pct"/>
            <w:shd w:val="clear" w:color="auto" w:fill="E6E6E6"/>
          </w:tcPr>
          <w:p w14:paraId="3863C28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Cycle</w:t>
            </w:r>
          </w:p>
        </w:tc>
        <w:tc>
          <w:tcPr>
            <w:tcW w:w="833" w:type="pct"/>
            <w:shd w:val="clear" w:color="auto" w:fill="E6E6E6"/>
          </w:tcPr>
          <w:p w14:paraId="662ADFF4"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Level of the course unit</w:t>
            </w:r>
          </w:p>
        </w:tc>
        <w:tc>
          <w:tcPr>
            <w:tcW w:w="834" w:type="pct"/>
            <w:shd w:val="clear" w:color="auto" w:fill="E6E6E6"/>
          </w:tcPr>
          <w:p w14:paraId="15DE79D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Type of the course unit</w:t>
            </w:r>
          </w:p>
        </w:tc>
      </w:tr>
      <w:tr w:rsidR="00E85350" w:rsidRPr="005C6DA5" w14:paraId="4330C370" w14:textId="77777777">
        <w:tc>
          <w:tcPr>
            <w:tcW w:w="833" w:type="pct"/>
          </w:tcPr>
          <w:p w14:paraId="61739168"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cycle (integrated studies)</w:t>
            </w:r>
          </w:p>
        </w:tc>
        <w:tc>
          <w:tcPr>
            <w:tcW w:w="833" w:type="pct"/>
          </w:tcPr>
          <w:p w14:paraId="299E2876" w14:textId="77777777" w:rsidR="00E85350" w:rsidRPr="005C6DA5" w:rsidRDefault="00E85350" w:rsidP="00BB618F">
            <w:pPr>
              <w:spacing w:before="0"/>
              <w:jc w:val="both"/>
              <w:rPr>
                <w:rFonts w:ascii="Times New Roman" w:hAnsi="Times New Roman" w:cs="Times New Roman"/>
                <w:sz w:val="20"/>
                <w:szCs w:val="20"/>
              </w:rPr>
            </w:pPr>
          </w:p>
        </w:tc>
        <w:tc>
          <w:tcPr>
            <w:tcW w:w="834" w:type="pct"/>
          </w:tcPr>
          <w:p w14:paraId="3382FD00"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Compulsory</w:t>
            </w:r>
          </w:p>
        </w:tc>
      </w:tr>
    </w:tbl>
    <w:p w14:paraId="40C682BE" w14:textId="77777777" w:rsidR="00E85350" w:rsidRPr="005C6DA5" w:rsidRDefault="00E85350"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8"/>
        <w:gridCol w:w="3208"/>
      </w:tblGrid>
      <w:tr w:rsidR="00E85350" w:rsidRPr="005C6DA5" w14:paraId="28EA514D" w14:textId="77777777">
        <w:tc>
          <w:tcPr>
            <w:tcW w:w="1668" w:type="pct"/>
            <w:shd w:val="clear" w:color="auto" w:fill="E6E6E6"/>
          </w:tcPr>
          <w:p w14:paraId="1A9291CF"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Mode of delivery</w:t>
            </w:r>
          </w:p>
        </w:tc>
        <w:tc>
          <w:tcPr>
            <w:tcW w:w="1666" w:type="pct"/>
            <w:shd w:val="clear" w:color="auto" w:fill="E6E6E6"/>
          </w:tcPr>
          <w:p w14:paraId="03F0836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Period of delivery</w:t>
            </w:r>
          </w:p>
        </w:tc>
        <w:tc>
          <w:tcPr>
            <w:tcW w:w="1667" w:type="pct"/>
            <w:shd w:val="clear" w:color="auto" w:fill="E6E6E6"/>
          </w:tcPr>
          <w:p w14:paraId="3CEE9C2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Language of instruction</w:t>
            </w:r>
          </w:p>
        </w:tc>
      </w:tr>
      <w:tr w:rsidR="00E85350" w:rsidRPr="005C6DA5" w14:paraId="6EF88375" w14:textId="77777777">
        <w:tc>
          <w:tcPr>
            <w:tcW w:w="1668" w:type="pct"/>
          </w:tcPr>
          <w:p w14:paraId="403DC07A"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Le</w:t>
            </w:r>
            <w:r w:rsidR="00F331CF">
              <w:rPr>
                <w:rFonts w:ascii="Times New Roman" w:hAnsi="Times New Roman" w:cs="Times New Roman"/>
                <w:sz w:val="20"/>
                <w:szCs w:val="20"/>
              </w:rPr>
              <w:t>ctures, seminars</w:t>
            </w:r>
          </w:p>
        </w:tc>
        <w:tc>
          <w:tcPr>
            <w:tcW w:w="1666" w:type="pct"/>
          </w:tcPr>
          <w:p w14:paraId="1C0DE96E" w14:textId="5DABD3F1" w:rsidR="00E85350" w:rsidRPr="005C6DA5" w:rsidRDefault="0086725D"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4</w:t>
            </w:r>
            <w:r w:rsidR="002D2401" w:rsidRPr="002D2401">
              <w:rPr>
                <w:rFonts w:ascii="Times New Roman" w:hAnsi="Times New Roman" w:cs="Times New Roman"/>
                <w:sz w:val="20"/>
                <w:szCs w:val="20"/>
                <w:vertAlign w:val="superscript"/>
              </w:rPr>
              <w:t>th</w:t>
            </w:r>
            <w:r w:rsidR="002D2401">
              <w:rPr>
                <w:rFonts w:ascii="Times New Roman" w:hAnsi="Times New Roman" w:cs="Times New Roman"/>
                <w:sz w:val="20"/>
                <w:szCs w:val="20"/>
              </w:rPr>
              <w:t xml:space="preserve"> </w:t>
            </w:r>
            <w:r w:rsidR="00E85350" w:rsidRPr="005C6DA5">
              <w:rPr>
                <w:rFonts w:ascii="Times New Roman" w:hAnsi="Times New Roman" w:cs="Times New Roman"/>
                <w:sz w:val="20"/>
                <w:szCs w:val="20"/>
              </w:rPr>
              <w:t>semester</w:t>
            </w:r>
          </w:p>
        </w:tc>
        <w:tc>
          <w:tcPr>
            <w:tcW w:w="1667" w:type="pct"/>
          </w:tcPr>
          <w:p w14:paraId="5CC0E405" w14:textId="77777777" w:rsidR="00E85350" w:rsidRPr="005C6DA5" w:rsidRDefault="0086725D"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English</w:t>
            </w:r>
          </w:p>
        </w:tc>
      </w:tr>
    </w:tbl>
    <w:p w14:paraId="4ED81212" w14:textId="77777777" w:rsidR="00E85350" w:rsidRPr="005C6DA5" w:rsidRDefault="00E85350" w:rsidP="00BB618F">
      <w:pPr>
        <w:spacing w:before="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5222"/>
      </w:tblGrid>
      <w:tr w:rsidR="00E85350" w:rsidRPr="005C6DA5" w14:paraId="17ECAAC3" w14:textId="77777777">
        <w:tc>
          <w:tcPr>
            <w:tcW w:w="9788" w:type="dxa"/>
            <w:gridSpan w:val="2"/>
            <w:shd w:val="clear" w:color="auto" w:fill="E6E6E6"/>
          </w:tcPr>
          <w:p w14:paraId="523A0C0A"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 xml:space="preserve">Prerequisites and </w:t>
            </w:r>
            <w:proofErr w:type="spellStart"/>
            <w:r w:rsidRPr="005C6DA5">
              <w:rPr>
                <w:rFonts w:ascii="Times New Roman" w:hAnsi="Times New Roman" w:cs="Times New Roman"/>
                <w:b/>
                <w:bCs/>
                <w:sz w:val="20"/>
                <w:szCs w:val="20"/>
              </w:rPr>
              <w:t>corequisites</w:t>
            </w:r>
            <w:proofErr w:type="spellEnd"/>
          </w:p>
        </w:tc>
      </w:tr>
      <w:tr w:rsidR="00E85350" w:rsidRPr="005C6DA5" w14:paraId="5570462F" w14:textId="77777777">
        <w:tc>
          <w:tcPr>
            <w:tcW w:w="0" w:type="auto"/>
          </w:tcPr>
          <w:p w14:paraId="6D5FA71F"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Prerequisites: </w:t>
            </w:r>
          </w:p>
          <w:p w14:paraId="099B3784" w14:textId="3D99B568"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A student must have completed the following courses: anatomy, </w:t>
            </w:r>
            <w:r w:rsidR="001063AD" w:rsidRPr="005C6DA5">
              <w:rPr>
                <w:rFonts w:ascii="Times New Roman" w:hAnsi="Times New Roman" w:cs="Times New Roman"/>
                <w:sz w:val="20"/>
                <w:szCs w:val="20"/>
              </w:rPr>
              <w:t>physiology</w:t>
            </w:r>
            <w:r w:rsidR="001063AD">
              <w:rPr>
                <w:rFonts w:ascii="Times New Roman" w:hAnsi="Times New Roman" w:cs="Times New Roman"/>
                <w:sz w:val="20"/>
                <w:szCs w:val="20"/>
              </w:rPr>
              <w:t xml:space="preserve">, </w:t>
            </w:r>
            <w:r w:rsidRPr="005C6DA5">
              <w:rPr>
                <w:rFonts w:ascii="Times New Roman" w:hAnsi="Times New Roman" w:cs="Times New Roman"/>
                <w:sz w:val="20"/>
                <w:szCs w:val="20"/>
              </w:rPr>
              <w:t>biochemistry,</w:t>
            </w:r>
            <w:r w:rsidR="00E13FE4">
              <w:rPr>
                <w:rFonts w:ascii="Times New Roman" w:hAnsi="Times New Roman" w:cs="Times New Roman"/>
                <w:sz w:val="20"/>
                <w:szCs w:val="20"/>
              </w:rPr>
              <w:t xml:space="preserve"> </w:t>
            </w:r>
            <w:r w:rsidR="00E13FE4" w:rsidRPr="005C6DA5">
              <w:rPr>
                <w:rFonts w:ascii="Times New Roman" w:hAnsi="Times New Roman" w:cs="Times New Roman"/>
                <w:sz w:val="20"/>
                <w:szCs w:val="20"/>
              </w:rPr>
              <w:t>pathophysiology</w:t>
            </w:r>
            <w:r w:rsidR="00AB628E">
              <w:rPr>
                <w:rFonts w:ascii="Times New Roman" w:hAnsi="Times New Roman" w:cs="Times New Roman"/>
                <w:sz w:val="20"/>
                <w:szCs w:val="20"/>
              </w:rPr>
              <w:t>, m</w:t>
            </w:r>
            <w:r w:rsidRPr="005C6DA5">
              <w:rPr>
                <w:rFonts w:ascii="Times New Roman" w:hAnsi="Times New Roman" w:cs="Times New Roman"/>
                <w:sz w:val="20"/>
                <w:szCs w:val="20"/>
              </w:rPr>
              <w:t>icrobiology</w:t>
            </w:r>
            <w:r w:rsidR="00AB628E">
              <w:rPr>
                <w:rFonts w:ascii="Times New Roman" w:hAnsi="Times New Roman" w:cs="Times New Roman"/>
                <w:sz w:val="20"/>
                <w:szCs w:val="20"/>
              </w:rPr>
              <w:t>.</w:t>
            </w:r>
          </w:p>
        </w:tc>
        <w:tc>
          <w:tcPr>
            <w:tcW w:w="5222" w:type="dxa"/>
          </w:tcPr>
          <w:p w14:paraId="22AD821F" w14:textId="77777777" w:rsidR="00E85350" w:rsidRPr="005C6DA5" w:rsidRDefault="00E85350" w:rsidP="00BB618F">
            <w:pPr>
              <w:spacing w:before="0"/>
              <w:jc w:val="both"/>
              <w:rPr>
                <w:rFonts w:ascii="Times New Roman" w:hAnsi="Times New Roman" w:cs="Times New Roman"/>
                <w:b/>
                <w:bCs/>
                <w:sz w:val="20"/>
                <w:szCs w:val="20"/>
              </w:rPr>
            </w:pPr>
            <w:proofErr w:type="spellStart"/>
            <w:r w:rsidRPr="005C6DA5">
              <w:rPr>
                <w:rFonts w:ascii="Times New Roman" w:hAnsi="Times New Roman" w:cs="Times New Roman"/>
                <w:b/>
                <w:bCs/>
                <w:sz w:val="20"/>
                <w:szCs w:val="20"/>
              </w:rPr>
              <w:t>Corequisites</w:t>
            </w:r>
            <w:proofErr w:type="spellEnd"/>
            <w:r w:rsidRPr="005C6DA5">
              <w:rPr>
                <w:rFonts w:ascii="Times New Roman" w:hAnsi="Times New Roman" w:cs="Times New Roman"/>
                <w:b/>
                <w:bCs/>
                <w:sz w:val="20"/>
                <w:szCs w:val="20"/>
              </w:rPr>
              <w:t xml:space="preserve"> (if any):</w:t>
            </w:r>
          </w:p>
          <w:p w14:paraId="75659774" w14:textId="4CD13DF5" w:rsidR="00E85350" w:rsidRPr="005C6DA5" w:rsidRDefault="00E85350" w:rsidP="00BB618F">
            <w:pPr>
              <w:spacing w:before="0"/>
              <w:jc w:val="both"/>
              <w:rPr>
                <w:rFonts w:ascii="Times New Roman" w:hAnsi="Times New Roman" w:cs="Times New Roman"/>
                <w:sz w:val="20"/>
                <w:szCs w:val="20"/>
              </w:rPr>
            </w:pPr>
          </w:p>
        </w:tc>
      </w:tr>
    </w:tbl>
    <w:p w14:paraId="4F415B74" w14:textId="77777777" w:rsidR="00E85350" w:rsidRPr="005C6DA5" w:rsidRDefault="00E85350"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E85350" w:rsidRPr="005C6DA5" w14:paraId="384F5AF9" w14:textId="77777777">
        <w:tc>
          <w:tcPr>
            <w:tcW w:w="667" w:type="pct"/>
            <w:shd w:val="clear" w:color="auto" w:fill="E6E6E6"/>
          </w:tcPr>
          <w:p w14:paraId="195E5DF0"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Number of ECTS credits allocated to the course unit</w:t>
            </w:r>
          </w:p>
        </w:tc>
        <w:tc>
          <w:tcPr>
            <w:tcW w:w="667" w:type="pct"/>
            <w:shd w:val="clear" w:color="auto" w:fill="E6E6E6"/>
          </w:tcPr>
          <w:p w14:paraId="54469023"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Total student’s workload</w:t>
            </w:r>
          </w:p>
        </w:tc>
        <w:tc>
          <w:tcPr>
            <w:tcW w:w="667" w:type="pct"/>
            <w:shd w:val="clear" w:color="auto" w:fill="E6E6E6"/>
          </w:tcPr>
          <w:p w14:paraId="3214614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Contact hours</w:t>
            </w:r>
          </w:p>
        </w:tc>
        <w:tc>
          <w:tcPr>
            <w:tcW w:w="667" w:type="pct"/>
            <w:shd w:val="clear" w:color="auto" w:fill="E6E6E6"/>
          </w:tcPr>
          <w:p w14:paraId="52E50DC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Self-study hours</w:t>
            </w:r>
          </w:p>
        </w:tc>
      </w:tr>
      <w:tr w:rsidR="00E85350" w:rsidRPr="005C6DA5" w14:paraId="55F00D83" w14:textId="77777777">
        <w:tc>
          <w:tcPr>
            <w:tcW w:w="667" w:type="pct"/>
          </w:tcPr>
          <w:p w14:paraId="5761D2B4" w14:textId="165C2ACD" w:rsidR="00E85350" w:rsidRPr="005C6DA5" w:rsidRDefault="00AB628E" w:rsidP="00BB618F">
            <w:pPr>
              <w:spacing w:before="0"/>
              <w:jc w:val="both"/>
              <w:rPr>
                <w:rFonts w:ascii="Times New Roman" w:hAnsi="Times New Roman" w:cs="Times New Roman"/>
                <w:sz w:val="20"/>
                <w:szCs w:val="20"/>
              </w:rPr>
            </w:pPr>
            <w:r>
              <w:rPr>
                <w:rFonts w:ascii="Times New Roman" w:hAnsi="Times New Roman" w:cs="Times New Roman"/>
                <w:sz w:val="20"/>
                <w:szCs w:val="20"/>
              </w:rPr>
              <w:t>5</w:t>
            </w:r>
          </w:p>
        </w:tc>
        <w:tc>
          <w:tcPr>
            <w:tcW w:w="667" w:type="pct"/>
          </w:tcPr>
          <w:p w14:paraId="5EDD31D5" w14:textId="490AA6EF" w:rsidR="00E85350" w:rsidRPr="005C6DA5" w:rsidRDefault="00AB628E" w:rsidP="00BB618F">
            <w:pPr>
              <w:spacing w:before="0"/>
              <w:jc w:val="both"/>
              <w:rPr>
                <w:rFonts w:ascii="Times New Roman" w:hAnsi="Times New Roman" w:cs="Times New Roman"/>
                <w:sz w:val="20"/>
                <w:szCs w:val="20"/>
              </w:rPr>
            </w:pPr>
            <w:r>
              <w:rPr>
                <w:rFonts w:ascii="Times New Roman" w:hAnsi="Times New Roman" w:cs="Times New Roman"/>
                <w:sz w:val="20"/>
                <w:szCs w:val="20"/>
              </w:rPr>
              <w:t>134</w:t>
            </w:r>
          </w:p>
        </w:tc>
        <w:tc>
          <w:tcPr>
            <w:tcW w:w="667" w:type="pct"/>
          </w:tcPr>
          <w:p w14:paraId="66CDAE8A" w14:textId="3F83D1CB" w:rsidR="00E85350" w:rsidRPr="005C6DA5" w:rsidRDefault="00A96550" w:rsidP="00B07555">
            <w:pPr>
              <w:spacing w:before="0"/>
              <w:jc w:val="both"/>
              <w:rPr>
                <w:rFonts w:ascii="Times New Roman" w:hAnsi="Times New Roman" w:cs="Times New Roman"/>
                <w:sz w:val="20"/>
                <w:szCs w:val="20"/>
              </w:rPr>
            </w:pPr>
            <w:r>
              <w:rPr>
                <w:rFonts w:ascii="Times New Roman" w:hAnsi="Times New Roman" w:cs="Times New Roman"/>
                <w:sz w:val="20"/>
                <w:szCs w:val="20"/>
              </w:rPr>
              <w:t>67</w:t>
            </w:r>
          </w:p>
        </w:tc>
        <w:tc>
          <w:tcPr>
            <w:tcW w:w="667" w:type="pct"/>
          </w:tcPr>
          <w:p w14:paraId="7BADCF21" w14:textId="007C3011" w:rsidR="00E85350" w:rsidRPr="005C6DA5" w:rsidRDefault="00A96550" w:rsidP="00BB618F">
            <w:pPr>
              <w:spacing w:before="0"/>
              <w:jc w:val="both"/>
              <w:rPr>
                <w:rFonts w:ascii="Times New Roman" w:hAnsi="Times New Roman" w:cs="Times New Roman"/>
                <w:sz w:val="20"/>
                <w:szCs w:val="20"/>
              </w:rPr>
            </w:pPr>
            <w:r>
              <w:rPr>
                <w:rFonts w:ascii="Times New Roman" w:hAnsi="Times New Roman" w:cs="Times New Roman"/>
                <w:sz w:val="20"/>
                <w:szCs w:val="20"/>
              </w:rPr>
              <w:t>67</w:t>
            </w:r>
          </w:p>
        </w:tc>
      </w:tr>
    </w:tbl>
    <w:p w14:paraId="75434369" w14:textId="77777777" w:rsidR="00E85350" w:rsidRPr="005C6DA5" w:rsidRDefault="00E85350" w:rsidP="00BB618F">
      <w:pPr>
        <w:spacing w:before="0"/>
        <w:jc w:val="both"/>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502"/>
        <w:gridCol w:w="2896"/>
        <w:gridCol w:w="2210"/>
      </w:tblGrid>
      <w:tr w:rsidR="00E85350" w:rsidRPr="005C6DA5" w14:paraId="13C19A0C" w14:textId="77777777">
        <w:tc>
          <w:tcPr>
            <w:tcW w:w="5000" w:type="pct"/>
            <w:gridSpan w:val="3"/>
            <w:tcBorders>
              <w:top w:val="single" w:sz="12" w:space="0" w:color="auto"/>
            </w:tcBorders>
            <w:shd w:val="clear" w:color="auto" w:fill="E6E6E6"/>
            <w:vAlign w:val="center"/>
          </w:tcPr>
          <w:p w14:paraId="307E17C5"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 xml:space="preserve">Purpose of the course unit </w:t>
            </w:r>
          </w:p>
          <w:p w14:paraId="7062A785"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Programme competences to be developed</w:t>
            </w:r>
          </w:p>
        </w:tc>
      </w:tr>
      <w:tr w:rsidR="00E85350" w:rsidRPr="005C6DA5" w14:paraId="6E5AEC46" w14:textId="77777777">
        <w:tc>
          <w:tcPr>
            <w:tcW w:w="5000" w:type="pct"/>
            <w:gridSpan w:val="3"/>
            <w:vAlign w:val="center"/>
          </w:tcPr>
          <w:p w14:paraId="053F743D" w14:textId="77777777" w:rsidR="00E85350" w:rsidRPr="005C6DA5" w:rsidRDefault="00E85350" w:rsidP="00145FC4">
            <w:pPr>
              <w:spacing w:before="0"/>
              <w:jc w:val="both"/>
              <w:rPr>
                <w:rFonts w:ascii="Times New Roman" w:hAnsi="Times New Roman" w:cs="Times New Roman"/>
                <w:sz w:val="20"/>
                <w:szCs w:val="20"/>
              </w:rPr>
            </w:pPr>
            <w:r w:rsidRPr="005C6DA5">
              <w:rPr>
                <w:rFonts w:ascii="Times New Roman" w:hAnsi="Times New Roman" w:cs="Times New Roman"/>
                <w:sz w:val="20"/>
                <w:szCs w:val="20"/>
              </w:rPr>
              <w:t>To give the basics of pharmacology, drug classification system, main groups of drugs, their mechanism of action, desired and side effects, drug action on pathological processes and drug pharmacokinetics; teach to write drug prescription.</w:t>
            </w:r>
            <w:r w:rsidR="00BC7AA8" w:rsidRPr="005C6DA5">
              <w:rPr>
                <w:rFonts w:ascii="Times New Roman" w:hAnsi="Times New Roman" w:cs="Times New Roman"/>
                <w:sz w:val="20"/>
                <w:szCs w:val="20"/>
              </w:rPr>
              <w:t xml:space="preserve"> </w:t>
            </w:r>
            <w:r w:rsidR="00BC7AA8" w:rsidRPr="005C6DA5">
              <w:rPr>
                <w:rFonts w:ascii="Times New Roman" w:hAnsi="Times New Roman" w:cs="Times New Roman"/>
                <w:sz w:val="20"/>
                <w:szCs w:val="20"/>
                <w:lang w:val="en"/>
              </w:rPr>
              <w:t>After completing the course students will know in which cases it is necessary to assign the appropriate medicines in medical practice.</w:t>
            </w:r>
          </w:p>
        </w:tc>
      </w:tr>
      <w:tr w:rsidR="00E85350" w:rsidRPr="005C6DA5" w14:paraId="013447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31272866"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Learning outcomes of the course unit</w:t>
            </w:r>
          </w:p>
        </w:tc>
        <w:tc>
          <w:tcPr>
            <w:tcW w:w="1507" w:type="pct"/>
            <w:tcBorders>
              <w:top w:val="single" w:sz="4" w:space="0" w:color="auto"/>
              <w:left w:val="single" w:sz="4" w:space="0" w:color="auto"/>
              <w:bottom w:val="single" w:sz="4" w:space="0" w:color="auto"/>
              <w:right w:val="single" w:sz="4" w:space="0" w:color="auto"/>
            </w:tcBorders>
          </w:tcPr>
          <w:p w14:paraId="4645AB58"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Teaching and learning methods</w:t>
            </w:r>
          </w:p>
        </w:tc>
        <w:tc>
          <w:tcPr>
            <w:tcW w:w="1150" w:type="pct"/>
            <w:tcBorders>
              <w:top w:val="single" w:sz="4" w:space="0" w:color="auto"/>
              <w:left w:val="single" w:sz="4" w:space="0" w:color="auto"/>
              <w:bottom w:val="single" w:sz="4" w:space="0" w:color="auto"/>
              <w:right w:val="single" w:sz="4" w:space="0" w:color="auto"/>
            </w:tcBorders>
          </w:tcPr>
          <w:p w14:paraId="79CB2416"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Assessment methods</w:t>
            </w:r>
          </w:p>
        </w:tc>
      </w:tr>
      <w:tr w:rsidR="00175CAD" w:rsidRPr="005C6DA5" w14:paraId="20B764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4D955B5D"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know what medicines are, the basics of pharmacodynamics and pharmacokinetics</w:t>
            </w:r>
          </w:p>
          <w:p w14:paraId="75DEE2BD" w14:textId="7D1F913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 Should be able to describe these processes for </w:t>
            </w:r>
            <w:r w:rsidR="009C6040" w:rsidRPr="005C6DA5">
              <w:rPr>
                <w:rFonts w:ascii="Times New Roman" w:hAnsi="Times New Roman" w:cs="Times New Roman"/>
                <w:sz w:val="20"/>
                <w:szCs w:val="20"/>
              </w:rPr>
              <w:t>medicines</w:t>
            </w:r>
          </w:p>
          <w:p w14:paraId="02AD5DCE"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know principles of drug development and basics of clinical trials</w:t>
            </w:r>
          </w:p>
        </w:tc>
        <w:tc>
          <w:tcPr>
            <w:tcW w:w="1507" w:type="pct"/>
            <w:vMerge w:val="restart"/>
            <w:tcBorders>
              <w:top w:val="single" w:sz="4" w:space="0" w:color="auto"/>
              <w:left w:val="single" w:sz="4" w:space="0" w:color="auto"/>
              <w:right w:val="single" w:sz="4" w:space="0" w:color="auto"/>
            </w:tcBorders>
          </w:tcPr>
          <w:p w14:paraId="4FF4661A" w14:textId="4B0901D7" w:rsidR="00175CAD" w:rsidRPr="00BB618F" w:rsidRDefault="00175CAD" w:rsidP="00175CAD">
            <w:pPr>
              <w:tabs>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Lectures (virtual l</w:t>
            </w:r>
            <w:r>
              <w:rPr>
                <w:rFonts w:ascii="Times New Roman" w:hAnsi="Times New Roman" w:cs="Times New Roman"/>
                <w:sz w:val="20"/>
                <w:szCs w:val="20"/>
              </w:rPr>
              <w:t xml:space="preserve">earning environment), seminars </w:t>
            </w:r>
            <w:r w:rsidRPr="005C6DA5">
              <w:rPr>
                <w:rFonts w:ascii="Times New Roman" w:hAnsi="Times New Roman" w:cs="Times New Roman"/>
                <w:sz w:val="20"/>
                <w:szCs w:val="20"/>
              </w:rPr>
              <w:t xml:space="preserve">(problem solving, discussions, demonstration of videos, presentations of </w:t>
            </w:r>
            <w:r w:rsidR="00F97925" w:rsidRPr="005C6DA5">
              <w:rPr>
                <w:rFonts w:ascii="Times New Roman" w:hAnsi="Times New Roman" w:cs="Times New Roman"/>
                <w:sz w:val="20"/>
                <w:szCs w:val="20"/>
              </w:rPr>
              <w:t xml:space="preserve">students)  </w:t>
            </w:r>
          </w:p>
        </w:tc>
        <w:tc>
          <w:tcPr>
            <w:tcW w:w="1150" w:type="pct"/>
            <w:vMerge w:val="restart"/>
            <w:tcBorders>
              <w:top w:val="single" w:sz="4" w:space="0" w:color="auto"/>
              <w:left w:val="single" w:sz="4" w:space="0" w:color="auto"/>
              <w:right w:val="single" w:sz="4" w:space="0" w:color="auto"/>
            </w:tcBorders>
          </w:tcPr>
          <w:p w14:paraId="6DFDCB1C"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3C65F5F2"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2E9919A9"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427A2C94"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640D0ED8"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63FF4F94" w14:textId="77777777" w:rsidR="00175CAD" w:rsidRPr="005C6DA5" w:rsidRDefault="00175CAD" w:rsidP="00175CAD">
            <w:pPr>
              <w:tabs>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Test, closed and open questions, practical tasks (</w:t>
            </w:r>
            <w:r w:rsidRPr="005C6DA5">
              <w:rPr>
                <w:rFonts w:ascii="Times New Roman" w:hAnsi="Times New Roman" w:cs="Times New Roman"/>
                <w:color w:val="222222"/>
                <w:sz w:val="20"/>
                <w:szCs w:val="20"/>
                <w:lang w:val="en"/>
              </w:rPr>
              <w:t>oral, in written, virtual)</w:t>
            </w:r>
          </w:p>
          <w:p w14:paraId="549CDC2C"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r w:rsidR="00175CAD" w:rsidRPr="005C6DA5" w14:paraId="21967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3685CE97"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 Should understand the principles of drug classification, to know classes of drugs and the main members of these classes </w:t>
            </w:r>
          </w:p>
          <w:p w14:paraId="46535377"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understand the reasons of classifying medicines</w:t>
            </w:r>
          </w:p>
        </w:tc>
        <w:tc>
          <w:tcPr>
            <w:tcW w:w="1507" w:type="pct"/>
            <w:vMerge/>
            <w:tcBorders>
              <w:left w:val="single" w:sz="4" w:space="0" w:color="auto"/>
              <w:right w:val="single" w:sz="4" w:space="0" w:color="auto"/>
            </w:tcBorders>
          </w:tcPr>
          <w:p w14:paraId="05B5E98E"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c>
          <w:tcPr>
            <w:tcW w:w="1150" w:type="pct"/>
            <w:vMerge/>
            <w:tcBorders>
              <w:left w:val="single" w:sz="4" w:space="0" w:color="auto"/>
              <w:right w:val="single" w:sz="4" w:space="0" w:color="auto"/>
            </w:tcBorders>
          </w:tcPr>
          <w:p w14:paraId="2ECDA096"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r w:rsidR="00175CAD" w:rsidRPr="005C6DA5" w14:paraId="15D5E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244FEEAC"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 Should be able to describe mechanism of action of drugs and their classes, indications (based on mechanism of action), adverse drug reactions </w:t>
            </w:r>
          </w:p>
          <w:p w14:paraId="29840D55"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understand mechanism of drugs interaction (benefits and risks)</w:t>
            </w:r>
          </w:p>
        </w:tc>
        <w:tc>
          <w:tcPr>
            <w:tcW w:w="1507" w:type="pct"/>
            <w:vMerge/>
            <w:tcBorders>
              <w:left w:val="single" w:sz="4" w:space="0" w:color="auto"/>
              <w:bottom w:val="single" w:sz="4" w:space="0" w:color="auto"/>
              <w:right w:val="single" w:sz="4" w:space="0" w:color="auto"/>
            </w:tcBorders>
          </w:tcPr>
          <w:p w14:paraId="4A004F58"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c>
          <w:tcPr>
            <w:tcW w:w="1150" w:type="pct"/>
            <w:vMerge/>
            <w:tcBorders>
              <w:left w:val="single" w:sz="4" w:space="0" w:color="auto"/>
              <w:right w:val="single" w:sz="4" w:space="0" w:color="auto"/>
            </w:tcBorders>
          </w:tcPr>
          <w:p w14:paraId="08F0B82A"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r w:rsidR="00175CAD" w:rsidRPr="005C6DA5" w14:paraId="40A7AA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4AA0F92E" w14:textId="77777777" w:rsidR="00175CAD" w:rsidRPr="005C6DA5" w:rsidRDefault="00175CAD" w:rsidP="00175CAD">
            <w:pPr>
              <w:tabs>
                <w:tab w:val="left" w:pos="432"/>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 Should know the principles how to write medicine prescription</w:t>
            </w:r>
          </w:p>
          <w:p w14:paraId="174193D2" w14:textId="294F8C3B" w:rsidR="00175CAD" w:rsidRPr="005C6DA5" w:rsidRDefault="00175CAD" w:rsidP="006740EC">
            <w:pPr>
              <w:tabs>
                <w:tab w:val="left" w:pos="432"/>
                <w:tab w:val="left" w:pos="851"/>
                <w:tab w:val="left" w:pos="907"/>
              </w:tabs>
              <w:spacing w:before="0"/>
              <w:rPr>
                <w:rStyle w:val="apple-style-span"/>
                <w:rFonts w:ascii="Times New Roman" w:hAnsi="Times New Roman"/>
                <w:sz w:val="20"/>
                <w:szCs w:val="20"/>
              </w:rPr>
            </w:pPr>
            <w:r w:rsidRPr="005C6DA5">
              <w:rPr>
                <w:rFonts w:ascii="Times New Roman" w:hAnsi="Times New Roman" w:cs="Times New Roman"/>
                <w:sz w:val="20"/>
                <w:szCs w:val="20"/>
              </w:rPr>
              <w:t>- To be able to find and interpret information about medicine</w:t>
            </w:r>
          </w:p>
        </w:tc>
        <w:tc>
          <w:tcPr>
            <w:tcW w:w="1507" w:type="pct"/>
            <w:tcBorders>
              <w:top w:val="single" w:sz="4" w:space="0" w:color="auto"/>
              <w:left w:val="single" w:sz="4" w:space="0" w:color="auto"/>
              <w:bottom w:val="single" w:sz="4" w:space="0" w:color="auto"/>
              <w:right w:val="single" w:sz="4" w:space="0" w:color="auto"/>
            </w:tcBorders>
          </w:tcPr>
          <w:p w14:paraId="49D09071" w14:textId="77777777" w:rsidR="00175CAD" w:rsidRPr="005C6DA5" w:rsidRDefault="00175CAD" w:rsidP="00175CAD">
            <w:pPr>
              <w:tabs>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Practical work, problem solving, prescription writing, search for information</w:t>
            </w:r>
          </w:p>
        </w:tc>
        <w:tc>
          <w:tcPr>
            <w:tcW w:w="1150" w:type="pct"/>
            <w:vMerge/>
            <w:tcBorders>
              <w:left w:val="single" w:sz="4" w:space="0" w:color="auto"/>
              <w:bottom w:val="single" w:sz="4" w:space="0" w:color="auto"/>
              <w:right w:val="single" w:sz="4" w:space="0" w:color="auto"/>
            </w:tcBorders>
          </w:tcPr>
          <w:p w14:paraId="61421EE2"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bl>
    <w:p w14:paraId="1BAEE847" w14:textId="22664B25" w:rsidR="00E85350" w:rsidRPr="005C6DA5" w:rsidRDefault="00E85350" w:rsidP="00BB618F">
      <w:pPr>
        <w:spacing w:before="0"/>
        <w:jc w:val="both"/>
        <w:rPr>
          <w:rFonts w:ascii="Times New Roman" w:hAnsi="Times New Roman" w:cs="Times New Roman"/>
          <w:sz w:val="20"/>
          <w:szCs w:val="20"/>
        </w:rPr>
      </w:pPr>
      <w:bookmarkStart w:id="0" w:name="_GoBack"/>
      <w:bookmarkEnd w:id="0"/>
    </w:p>
    <w:tbl>
      <w:tblPr>
        <w:tblW w:w="49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323"/>
        <w:gridCol w:w="418"/>
        <w:gridCol w:w="418"/>
        <w:gridCol w:w="510"/>
        <w:gridCol w:w="441"/>
        <w:gridCol w:w="349"/>
        <w:gridCol w:w="332"/>
        <w:gridCol w:w="536"/>
        <w:gridCol w:w="605"/>
        <w:gridCol w:w="2613"/>
      </w:tblGrid>
      <w:tr w:rsidR="009A109D" w:rsidRPr="005C6DA5" w14:paraId="24F09DF6" w14:textId="77777777" w:rsidTr="007E5CD3">
        <w:tc>
          <w:tcPr>
            <w:tcW w:w="1740" w:type="pct"/>
            <w:vMerge w:val="restart"/>
            <w:tcBorders>
              <w:top w:val="single" w:sz="12" w:space="0" w:color="auto"/>
            </w:tcBorders>
            <w:shd w:val="clear" w:color="auto" w:fill="E6E6E6"/>
            <w:vAlign w:val="center"/>
          </w:tcPr>
          <w:p w14:paraId="2011AA5C"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Topics</w:t>
            </w:r>
          </w:p>
        </w:tc>
        <w:tc>
          <w:tcPr>
            <w:tcW w:w="1574" w:type="pct"/>
            <w:gridSpan w:val="7"/>
            <w:tcBorders>
              <w:top w:val="single" w:sz="12" w:space="0" w:color="auto"/>
            </w:tcBorders>
            <w:shd w:val="clear" w:color="auto" w:fill="E6E6E6"/>
            <w:vAlign w:val="center"/>
          </w:tcPr>
          <w:p w14:paraId="60C1589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 xml:space="preserve">Contact work hours </w:t>
            </w:r>
          </w:p>
        </w:tc>
        <w:tc>
          <w:tcPr>
            <w:tcW w:w="1686" w:type="pct"/>
            <w:gridSpan w:val="2"/>
            <w:tcBorders>
              <w:top w:val="single" w:sz="12" w:space="0" w:color="auto"/>
            </w:tcBorders>
            <w:shd w:val="clear" w:color="auto" w:fill="E6E6E6"/>
            <w:vAlign w:val="center"/>
          </w:tcPr>
          <w:p w14:paraId="7470C2D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Time and tasks of self-study</w:t>
            </w:r>
          </w:p>
        </w:tc>
      </w:tr>
      <w:tr w:rsidR="009A109D" w:rsidRPr="005C6DA5" w14:paraId="2F18228A" w14:textId="77777777" w:rsidTr="00C41C23">
        <w:trPr>
          <w:cantSplit/>
          <w:trHeight w:val="1686"/>
        </w:trPr>
        <w:tc>
          <w:tcPr>
            <w:tcW w:w="1740" w:type="pct"/>
            <w:vMerge/>
            <w:vAlign w:val="center"/>
          </w:tcPr>
          <w:p w14:paraId="3DE89BA4" w14:textId="77777777" w:rsidR="00E85350" w:rsidRPr="005C6DA5" w:rsidRDefault="00E85350" w:rsidP="00BB618F">
            <w:pPr>
              <w:spacing w:before="0"/>
              <w:jc w:val="center"/>
              <w:rPr>
                <w:rFonts w:ascii="Times New Roman" w:hAnsi="Times New Roman" w:cs="Times New Roman"/>
                <w:b/>
                <w:bCs/>
                <w:sz w:val="20"/>
                <w:szCs w:val="20"/>
              </w:rPr>
            </w:pPr>
          </w:p>
        </w:tc>
        <w:tc>
          <w:tcPr>
            <w:tcW w:w="219" w:type="pct"/>
            <w:textDirection w:val="btLr"/>
            <w:vAlign w:val="center"/>
          </w:tcPr>
          <w:p w14:paraId="1FA7C20A"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Lectures</w:t>
            </w:r>
          </w:p>
        </w:tc>
        <w:tc>
          <w:tcPr>
            <w:tcW w:w="219" w:type="pct"/>
            <w:textDirection w:val="btLr"/>
            <w:vAlign w:val="center"/>
          </w:tcPr>
          <w:p w14:paraId="01CBBCD9"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Consultations</w:t>
            </w:r>
          </w:p>
        </w:tc>
        <w:tc>
          <w:tcPr>
            <w:tcW w:w="267" w:type="pct"/>
            <w:textDirection w:val="btLr"/>
            <w:vAlign w:val="center"/>
          </w:tcPr>
          <w:p w14:paraId="001881B1"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 xml:space="preserve">Seminars </w:t>
            </w:r>
          </w:p>
        </w:tc>
        <w:tc>
          <w:tcPr>
            <w:tcW w:w="231" w:type="pct"/>
            <w:textDirection w:val="btLr"/>
            <w:vAlign w:val="center"/>
          </w:tcPr>
          <w:p w14:paraId="473400E6"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 xml:space="preserve">Practice </w:t>
            </w:r>
          </w:p>
        </w:tc>
        <w:tc>
          <w:tcPr>
            <w:tcW w:w="183" w:type="pct"/>
            <w:textDirection w:val="btLr"/>
            <w:vAlign w:val="center"/>
          </w:tcPr>
          <w:p w14:paraId="31135EBA"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Laboratory work</w:t>
            </w:r>
          </w:p>
        </w:tc>
        <w:tc>
          <w:tcPr>
            <w:tcW w:w="174" w:type="pct"/>
            <w:textDirection w:val="btLr"/>
            <w:vAlign w:val="center"/>
          </w:tcPr>
          <w:p w14:paraId="4F25D30C"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Practical training</w:t>
            </w:r>
          </w:p>
        </w:tc>
        <w:tc>
          <w:tcPr>
            <w:tcW w:w="281" w:type="pct"/>
            <w:textDirection w:val="btLr"/>
            <w:vAlign w:val="center"/>
          </w:tcPr>
          <w:p w14:paraId="791E4627" w14:textId="77777777" w:rsidR="00E85350" w:rsidRPr="005C6DA5" w:rsidRDefault="00E85350" w:rsidP="00BB618F">
            <w:pPr>
              <w:spacing w:before="0"/>
              <w:rPr>
                <w:rFonts w:ascii="Times New Roman" w:hAnsi="Times New Roman" w:cs="Times New Roman"/>
                <w:b/>
                <w:bCs/>
                <w:sz w:val="18"/>
                <w:szCs w:val="18"/>
              </w:rPr>
            </w:pPr>
            <w:r w:rsidRPr="005C6DA5">
              <w:rPr>
                <w:rFonts w:ascii="Times New Roman" w:hAnsi="Times New Roman" w:cs="Times New Roman"/>
                <w:b/>
                <w:bCs/>
                <w:sz w:val="18"/>
                <w:szCs w:val="18"/>
              </w:rPr>
              <w:t>Total contact hours</w:t>
            </w:r>
          </w:p>
        </w:tc>
        <w:tc>
          <w:tcPr>
            <w:tcW w:w="317" w:type="pct"/>
            <w:textDirection w:val="btLr"/>
            <w:vAlign w:val="center"/>
          </w:tcPr>
          <w:p w14:paraId="19763B5C" w14:textId="77777777" w:rsidR="00E85350" w:rsidRPr="005C6DA5" w:rsidRDefault="00E85350" w:rsidP="00BB618F">
            <w:pPr>
              <w:spacing w:before="0"/>
              <w:rPr>
                <w:rFonts w:ascii="Times New Roman" w:hAnsi="Times New Roman" w:cs="Times New Roman"/>
                <w:b/>
                <w:bCs/>
                <w:sz w:val="18"/>
                <w:szCs w:val="18"/>
              </w:rPr>
            </w:pPr>
            <w:r w:rsidRPr="005C6DA5">
              <w:rPr>
                <w:rFonts w:ascii="Times New Roman" w:hAnsi="Times New Roman" w:cs="Times New Roman"/>
                <w:b/>
                <w:bCs/>
                <w:sz w:val="18"/>
                <w:szCs w:val="18"/>
              </w:rPr>
              <w:t>Self-study</w:t>
            </w:r>
          </w:p>
        </w:tc>
        <w:tc>
          <w:tcPr>
            <w:tcW w:w="1369" w:type="pct"/>
            <w:vAlign w:val="center"/>
          </w:tcPr>
          <w:p w14:paraId="67CFEF31"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Tasks</w:t>
            </w:r>
          </w:p>
        </w:tc>
      </w:tr>
      <w:tr w:rsidR="009A109D" w:rsidRPr="005C6DA5" w14:paraId="655EE8A4" w14:textId="77777777" w:rsidTr="00C41C23">
        <w:tc>
          <w:tcPr>
            <w:tcW w:w="1740" w:type="pct"/>
          </w:tcPr>
          <w:p w14:paraId="4BF1C5A6" w14:textId="331AFF2B" w:rsidR="00E85350" w:rsidRPr="005C6DA5" w:rsidRDefault="00E85350" w:rsidP="00C222AD">
            <w:pPr>
              <w:spacing w:before="0"/>
              <w:rPr>
                <w:rFonts w:ascii="Times New Roman" w:hAnsi="Times New Roman" w:cs="Times New Roman"/>
                <w:sz w:val="20"/>
                <w:szCs w:val="20"/>
              </w:rPr>
            </w:pPr>
            <w:r w:rsidRPr="005C6DA5">
              <w:rPr>
                <w:rFonts w:ascii="Times New Roman" w:hAnsi="Times New Roman" w:cs="Times New Roman"/>
                <w:sz w:val="20"/>
                <w:szCs w:val="20"/>
              </w:rPr>
              <w:t xml:space="preserve">1. The subject of pharmacology. Pharmaceutical substance and preparation. </w:t>
            </w:r>
            <w:r w:rsidR="00486151" w:rsidRPr="005C6DA5">
              <w:rPr>
                <w:rFonts w:ascii="Times New Roman" w:hAnsi="Times New Roman" w:cs="Times New Roman"/>
                <w:sz w:val="20"/>
                <w:szCs w:val="20"/>
              </w:rPr>
              <w:t xml:space="preserve">Development and clinical trials. </w:t>
            </w:r>
            <w:r w:rsidRPr="005C6DA5">
              <w:rPr>
                <w:rFonts w:ascii="Times New Roman" w:hAnsi="Times New Roman" w:cs="Times New Roman"/>
                <w:sz w:val="20"/>
                <w:szCs w:val="20"/>
              </w:rPr>
              <w:t xml:space="preserve">Dosage and method of use of </w:t>
            </w:r>
            <w:r w:rsidR="00486151" w:rsidRPr="005C6DA5">
              <w:rPr>
                <w:rFonts w:ascii="Times New Roman" w:hAnsi="Times New Roman" w:cs="Times New Roman"/>
                <w:sz w:val="20"/>
                <w:szCs w:val="20"/>
              </w:rPr>
              <w:t>medicines</w:t>
            </w:r>
            <w:r w:rsidRPr="005C6DA5">
              <w:rPr>
                <w:rFonts w:ascii="Times New Roman" w:hAnsi="Times New Roman" w:cs="Times New Roman"/>
                <w:sz w:val="20"/>
                <w:szCs w:val="20"/>
              </w:rPr>
              <w:t xml:space="preserve"> </w:t>
            </w:r>
          </w:p>
        </w:tc>
        <w:tc>
          <w:tcPr>
            <w:tcW w:w="219" w:type="pct"/>
          </w:tcPr>
          <w:p w14:paraId="15385004" w14:textId="77777777" w:rsidR="00E85350" w:rsidRPr="00C41C23" w:rsidRDefault="00E85350" w:rsidP="00C222AD">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2C6273B5" w14:textId="77777777" w:rsidR="00E85350" w:rsidRPr="00C41C23" w:rsidRDefault="00E85350" w:rsidP="00C222AD">
            <w:pPr>
              <w:spacing w:before="0"/>
              <w:jc w:val="both"/>
              <w:rPr>
                <w:rFonts w:ascii="Times New Roman" w:hAnsi="Times New Roman" w:cs="Times New Roman"/>
                <w:sz w:val="20"/>
                <w:szCs w:val="20"/>
              </w:rPr>
            </w:pPr>
          </w:p>
        </w:tc>
        <w:tc>
          <w:tcPr>
            <w:tcW w:w="267" w:type="pct"/>
          </w:tcPr>
          <w:p w14:paraId="57FDC0D1" w14:textId="1CB9F036" w:rsidR="00E85350" w:rsidRPr="00C41C23" w:rsidRDefault="00C64A74" w:rsidP="00C222AD">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3CDAF881" w14:textId="244104FC" w:rsidR="00E85350" w:rsidRPr="00C41C23" w:rsidRDefault="00C64A74" w:rsidP="00C222AD">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377C39E4" w14:textId="77777777" w:rsidR="00E85350" w:rsidRPr="00C41C23" w:rsidRDefault="00E85350" w:rsidP="00C222AD">
            <w:pPr>
              <w:spacing w:before="0"/>
              <w:jc w:val="both"/>
              <w:rPr>
                <w:rFonts w:ascii="Times New Roman" w:hAnsi="Times New Roman" w:cs="Times New Roman"/>
                <w:sz w:val="20"/>
                <w:szCs w:val="20"/>
              </w:rPr>
            </w:pPr>
          </w:p>
        </w:tc>
        <w:tc>
          <w:tcPr>
            <w:tcW w:w="174" w:type="pct"/>
          </w:tcPr>
          <w:p w14:paraId="33C5AF2E" w14:textId="77777777" w:rsidR="00E85350" w:rsidRPr="00C41C23" w:rsidRDefault="00E85350" w:rsidP="00C222AD">
            <w:pPr>
              <w:spacing w:before="0"/>
              <w:jc w:val="both"/>
              <w:rPr>
                <w:rFonts w:ascii="Times New Roman" w:hAnsi="Times New Roman" w:cs="Times New Roman"/>
                <w:sz w:val="20"/>
                <w:szCs w:val="20"/>
              </w:rPr>
            </w:pPr>
          </w:p>
        </w:tc>
        <w:tc>
          <w:tcPr>
            <w:tcW w:w="281" w:type="pct"/>
          </w:tcPr>
          <w:p w14:paraId="41DE38E6" w14:textId="71710448" w:rsidR="00E85350" w:rsidRPr="00C41C23" w:rsidRDefault="00C64A74"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w:t>
            </w:r>
          </w:p>
        </w:tc>
        <w:tc>
          <w:tcPr>
            <w:tcW w:w="317" w:type="pct"/>
          </w:tcPr>
          <w:p w14:paraId="0539AA72" w14:textId="77777777" w:rsidR="00E85350" w:rsidRPr="005C6DA5" w:rsidRDefault="0086725D" w:rsidP="00C222AD">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8</w:t>
            </w:r>
          </w:p>
        </w:tc>
        <w:tc>
          <w:tcPr>
            <w:tcW w:w="1369" w:type="pct"/>
          </w:tcPr>
          <w:p w14:paraId="104C978E" w14:textId="77777777" w:rsidR="00E85350" w:rsidRPr="005C6DA5" w:rsidRDefault="00FB6176" w:rsidP="00BB618F">
            <w:pPr>
              <w:spacing w:before="0"/>
              <w:rPr>
                <w:rFonts w:ascii="Times New Roman" w:hAnsi="Times New Roman" w:cs="Times New Roman"/>
                <w:sz w:val="20"/>
                <w:szCs w:val="20"/>
              </w:rPr>
            </w:pPr>
            <w:r w:rsidRPr="005C6DA5">
              <w:rPr>
                <w:rFonts w:ascii="Times New Roman" w:hAnsi="Times New Roman" w:cs="Times New Roman"/>
                <w:sz w:val="20"/>
                <w:szCs w:val="20"/>
              </w:rPr>
              <w:t xml:space="preserve">Preparation for the </w:t>
            </w:r>
            <w:r w:rsidR="00E85350" w:rsidRPr="005C6DA5">
              <w:rPr>
                <w:rFonts w:ascii="Times New Roman" w:hAnsi="Times New Roman" w:cs="Times New Roman"/>
                <w:sz w:val="20"/>
                <w:szCs w:val="20"/>
              </w:rPr>
              <w:t>topic</w:t>
            </w:r>
          </w:p>
        </w:tc>
      </w:tr>
      <w:tr w:rsidR="009A109D" w:rsidRPr="005C6DA5" w14:paraId="7076BA58" w14:textId="77777777" w:rsidTr="00C41C23">
        <w:trPr>
          <w:trHeight w:val="401"/>
        </w:trPr>
        <w:tc>
          <w:tcPr>
            <w:tcW w:w="1740" w:type="pct"/>
          </w:tcPr>
          <w:p w14:paraId="050FD56A" w14:textId="730A9FCE" w:rsidR="00FB6176" w:rsidRPr="005C6DA5" w:rsidRDefault="00FB6176" w:rsidP="00FB6176">
            <w:pPr>
              <w:spacing w:before="0"/>
              <w:rPr>
                <w:rFonts w:ascii="Times New Roman" w:hAnsi="Times New Roman" w:cs="Times New Roman"/>
                <w:sz w:val="20"/>
                <w:szCs w:val="20"/>
              </w:rPr>
            </w:pPr>
            <w:r w:rsidRPr="005C6DA5">
              <w:rPr>
                <w:rFonts w:ascii="Times New Roman" w:hAnsi="Times New Roman" w:cs="Times New Roman"/>
                <w:sz w:val="20"/>
                <w:szCs w:val="20"/>
              </w:rPr>
              <w:t>2. Pharmacodynamics</w:t>
            </w:r>
          </w:p>
        </w:tc>
        <w:tc>
          <w:tcPr>
            <w:tcW w:w="219" w:type="pct"/>
          </w:tcPr>
          <w:p w14:paraId="4B7B0452"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49619C33"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40B22546" w14:textId="7859E1F1" w:rsidR="00FB6176" w:rsidRPr="00C41C23" w:rsidRDefault="00C64A74"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1</w:t>
            </w:r>
          </w:p>
        </w:tc>
        <w:tc>
          <w:tcPr>
            <w:tcW w:w="231" w:type="pct"/>
          </w:tcPr>
          <w:p w14:paraId="0D4CB29E" w14:textId="2B3DD3A3" w:rsidR="00FB6176" w:rsidRPr="00C41C23" w:rsidRDefault="00C64A74"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526D161D"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3DF631A6"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28DB825A" w14:textId="02C37FCD" w:rsidR="00FB6176" w:rsidRPr="00C41C23" w:rsidRDefault="00C64A74"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5</w:t>
            </w:r>
          </w:p>
        </w:tc>
        <w:tc>
          <w:tcPr>
            <w:tcW w:w="317" w:type="pct"/>
          </w:tcPr>
          <w:p w14:paraId="08247065" w14:textId="2BCD60F4" w:rsidR="00FB6176" w:rsidRPr="005C6DA5" w:rsidRDefault="00C64A74"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1369" w:type="pct"/>
          </w:tcPr>
          <w:p w14:paraId="78F880EB" w14:textId="77777777" w:rsidR="00FB6176" w:rsidRPr="005C6DA5" w:rsidRDefault="00FB6176" w:rsidP="00FB6176">
            <w:pPr>
              <w:rPr>
                <w:rFonts w:ascii="Times New Roman" w:hAnsi="Times New Roman" w:cs="Times New Roman"/>
                <w:sz w:val="20"/>
                <w:szCs w:val="20"/>
              </w:rPr>
            </w:pPr>
            <w:r w:rsidRPr="005C6DA5">
              <w:rPr>
                <w:rFonts w:ascii="Times New Roman" w:hAnsi="Times New Roman" w:cs="Times New Roman"/>
                <w:sz w:val="20"/>
                <w:szCs w:val="20"/>
              </w:rPr>
              <w:t>Preparation for the topic</w:t>
            </w:r>
          </w:p>
        </w:tc>
      </w:tr>
      <w:tr w:rsidR="00947219" w:rsidRPr="005C6DA5" w14:paraId="230E873F" w14:textId="77777777" w:rsidTr="00C41C23">
        <w:trPr>
          <w:trHeight w:val="401"/>
        </w:trPr>
        <w:tc>
          <w:tcPr>
            <w:tcW w:w="1740" w:type="pct"/>
          </w:tcPr>
          <w:p w14:paraId="7AD1D475" w14:textId="1C2C1BA9" w:rsidR="00947219" w:rsidRPr="005C6DA5" w:rsidRDefault="00947219" w:rsidP="00FB6176">
            <w:pPr>
              <w:spacing w:before="0"/>
              <w:rPr>
                <w:rFonts w:ascii="Times New Roman" w:hAnsi="Times New Roman" w:cs="Times New Roman"/>
                <w:sz w:val="20"/>
                <w:szCs w:val="20"/>
              </w:rPr>
            </w:pPr>
            <w:r>
              <w:rPr>
                <w:rFonts w:ascii="Times New Roman" w:hAnsi="Times New Roman" w:cs="Times New Roman"/>
                <w:sz w:val="20"/>
                <w:szCs w:val="20"/>
              </w:rPr>
              <w:t>3. P</w:t>
            </w:r>
            <w:r w:rsidRPr="005C6DA5">
              <w:rPr>
                <w:rFonts w:ascii="Times New Roman" w:hAnsi="Times New Roman" w:cs="Times New Roman"/>
                <w:sz w:val="20"/>
                <w:szCs w:val="20"/>
              </w:rPr>
              <w:t xml:space="preserve">harmacokinetics, </w:t>
            </w:r>
            <w:proofErr w:type="spellStart"/>
            <w:r w:rsidRPr="005C6DA5">
              <w:rPr>
                <w:rFonts w:ascii="Times New Roman" w:hAnsi="Times New Roman" w:cs="Times New Roman"/>
                <w:sz w:val="20"/>
                <w:szCs w:val="20"/>
              </w:rPr>
              <w:t>pharmacogenetics</w:t>
            </w:r>
            <w:proofErr w:type="spellEnd"/>
          </w:p>
        </w:tc>
        <w:tc>
          <w:tcPr>
            <w:tcW w:w="219" w:type="pct"/>
          </w:tcPr>
          <w:p w14:paraId="5ED08476" w14:textId="2D26A781" w:rsidR="00947219"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00769BBB" w14:textId="77777777" w:rsidR="00947219" w:rsidRPr="00C41C23" w:rsidRDefault="00947219" w:rsidP="00FB6176">
            <w:pPr>
              <w:spacing w:before="0"/>
              <w:jc w:val="both"/>
              <w:rPr>
                <w:rFonts w:ascii="Times New Roman" w:hAnsi="Times New Roman" w:cs="Times New Roman"/>
                <w:sz w:val="20"/>
                <w:szCs w:val="20"/>
              </w:rPr>
            </w:pPr>
          </w:p>
        </w:tc>
        <w:tc>
          <w:tcPr>
            <w:tcW w:w="267" w:type="pct"/>
          </w:tcPr>
          <w:p w14:paraId="614107E2" w14:textId="3EF4D774" w:rsidR="00947219"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1</w:t>
            </w:r>
          </w:p>
        </w:tc>
        <w:tc>
          <w:tcPr>
            <w:tcW w:w="231" w:type="pct"/>
          </w:tcPr>
          <w:p w14:paraId="16D856BA" w14:textId="51FA63F1" w:rsidR="00947219"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0483D28C" w14:textId="77777777" w:rsidR="00947219" w:rsidRPr="00C41C23" w:rsidRDefault="00947219" w:rsidP="00FB6176">
            <w:pPr>
              <w:spacing w:before="0"/>
              <w:jc w:val="both"/>
              <w:rPr>
                <w:rFonts w:ascii="Times New Roman" w:hAnsi="Times New Roman" w:cs="Times New Roman"/>
                <w:sz w:val="20"/>
                <w:szCs w:val="20"/>
              </w:rPr>
            </w:pPr>
          </w:p>
        </w:tc>
        <w:tc>
          <w:tcPr>
            <w:tcW w:w="174" w:type="pct"/>
          </w:tcPr>
          <w:p w14:paraId="50310872" w14:textId="77777777" w:rsidR="00947219" w:rsidRPr="00C41C23" w:rsidRDefault="00947219" w:rsidP="00FB6176">
            <w:pPr>
              <w:spacing w:before="0"/>
              <w:jc w:val="both"/>
              <w:rPr>
                <w:rFonts w:ascii="Times New Roman" w:hAnsi="Times New Roman" w:cs="Times New Roman"/>
                <w:sz w:val="20"/>
                <w:szCs w:val="20"/>
              </w:rPr>
            </w:pPr>
          </w:p>
        </w:tc>
        <w:tc>
          <w:tcPr>
            <w:tcW w:w="281" w:type="pct"/>
          </w:tcPr>
          <w:p w14:paraId="041DD11D" w14:textId="0DD8F67C" w:rsidR="00947219" w:rsidRPr="00C41C23" w:rsidRDefault="00505398"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5</w:t>
            </w:r>
          </w:p>
        </w:tc>
        <w:tc>
          <w:tcPr>
            <w:tcW w:w="317" w:type="pct"/>
          </w:tcPr>
          <w:p w14:paraId="06EBF4E5" w14:textId="5774B608" w:rsidR="00947219" w:rsidRDefault="00505398"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1369" w:type="pct"/>
          </w:tcPr>
          <w:p w14:paraId="251EA0E0" w14:textId="69A5F862" w:rsidR="00947219" w:rsidRPr="005C6DA5" w:rsidRDefault="0006219D" w:rsidP="00FB6176">
            <w:pPr>
              <w:rPr>
                <w:rFonts w:ascii="Times New Roman" w:hAnsi="Times New Roman" w:cs="Times New Roman"/>
                <w:sz w:val="20"/>
                <w:szCs w:val="20"/>
              </w:rPr>
            </w:pPr>
            <w:r w:rsidRPr="005C6DA5">
              <w:rPr>
                <w:rFonts w:ascii="Times New Roman" w:hAnsi="Times New Roman" w:cs="Times New Roman"/>
                <w:sz w:val="20"/>
                <w:szCs w:val="20"/>
              </w:rPr>
              <w:t>Preparation for the topic</w:t>
            </w:r>
          </w:p>
        </w:tc>
      </w:tr>
      <w:tr w:rsidR="009A109D" w:rsidRPr="005C6DA5" w14:paraId="6948B1E8" w14:textId="77777777" w:rsidTr="00C41C23">
        <w:tc>
          <w:tcPr>
            <w:tcW w:w="1740" w:type="pct"/>
          </w:tcPr>
          <w:p w14:paraId="15D7AF4B" w14:textId="4FAD54D7"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4</w:t>
            </w:r>
            <w:r w:rsidR="00FB6176" w:rsidRPr="005C6DA5">
              <w:rPr>
                <w:rFonts w:ascii="Times New Roman" w:hAnsi="Times New Roman" w:cs="Times New Roman"/>
                <w:sz w:val="20"/>
                <w:szCs w:val="20"/>
              </w:rPr>
              <w:t xml:space="preserve">. Drugs acting on cholinergic and adrenergic synapses </w:t>
            </w:r>
          </w:p>
        </w:tc>
        <w:tc>
          <w:tcPr>
            <w:tcW w:w="219" w:type="pct"/>
          </w:tcPr>
          <w:p w14:paraId="0E6C8453" w14:textId="33783995" w:rsidR="00FB6176" w:rsidRPr="00C41C23" w:rsidRDefault="00FB6176" w:rsidP="00FB6176">
            <w:pPr>
              <w:spacing w:before="0"/>
              <w:jc w:val="both"/>
              <w:rPr>
                <w:rFonts w:ascii="Times New Roman" w:hAnsi="Times New Roman" w:cs="Times New Roman"/>
                <w:sz w:val="20"/>
                <w:szCs w:val="20"/>
              </w:rPr>
            </w:pPr>
          </w:p>
        </w:tc>
        <w:tc>
          <w:tcPr>
            <w:tcW w:w="219" w:type="pct"/>
          </w:tcPr>
          <w:p w14:paraId="741D20D7"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1C81DD41" w14:textId="60B40630" w:rsidR="00FB6176"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4</w:t>
            </w:r>
          </w:p>
        </w:tc>
        <w:tc>
          <w:tcPr>
            <w:tcW w:w="231" w:type="pct"/>
          </w:tcPr>
          <w:p w14:paraId="3D11D7E9" w14:textId="5A3D7C06" w:rsidR="00FB6176" w:rsidRPr="00C41C23" w:rsidRDefault="00424F89"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7094E28E"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1AC4446B"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768186D3" w14:textId="3E68A0B1" w:rsidR="00FB6176" w:rsidRPr="00C41C23" w:rsidRDefault="00505398"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w:t>
            </w:r>
          </w:p>
        </w:tc>
        <w:tc>
          <w:tcPr>
            <w:tcW w:w="317" w:type="pct"/>
          </w:tcPr>
          <w:p w14:paraId="621E3134" w14:textId="7094E359" w:rsidR="00FB6176" w:rsidRPr="005C6DA5" w:rsidRDefault="00505398"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1369" w:type="pct"/>
          </w:tcPr>
          <w:p w14:paraId="3B528F1A"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5C0C4C4D" w14:textId="77777777" w:rsidTr="00C41C23">
        <w:tc>
          <w:tcPr>
            <w:tcW w:w="1740" w:type="pct"/>
          </w:tcPr>
          <w:p w14:paraId="24DE0CD7" w14:textId="5FBDB93A"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5</w:t>
            </w:r>
            <w:r w:rsidR="00FB6176" w:rsidRPr="005C6DA5">
              <w:rPr>
                <w:rFonts w:ascii="Times New Roman" w:hAnsi="Times New Roman" w:cs="Times New Roman"/>
                <w:sz w:val="20"/>
                <w:szCs w:val="20"/>
              </w:rPr>
              <w:t>. Local anaesthetics. General anaesthetics. Opioid analgesics.</w:t>
            </w:r>
          </w:p>
        </w:tc>
        <w:tc>
          <w:tcPr>
            <w:tcW w:w="219" w:type="pct"/>
          </w:tcPr>
          <w:p w14:paraId="759F5BBC"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7D8F2E02"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78E50686" w14:textId="093BDACC" w:rsidR="00FB6176"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05383001" w14:textId="5845794F" w:rsidR="00FB6176"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57964A70"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3BB28DBE"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4BF490CF" w14:textId="77777777" w:rsidR="00FB6176" w:rsidRPr="00C41C23" w:rsidRDefault="00FB6176"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w:t>
            </w:r>
          </w:p>
        </w:tc>
        <w:tc>
          <w:tcPr>
            <w:tcW w:w="317" w:type="pct"/>
          </w:tcPr>
          <w:p w14:paraId="0064266D" w14:textId="77777777" w:rsidR="00FB6176" w:rsidRPr="005C6DA5" w:rsidRDefault="00FB6176" w:rsidP="00FB6176">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6</w:t>
            </w:r>
          </w:p>
        </w:tc>
        <w:tc>
          <w:tcPr>
            <w:tcW w:w="1369" w:type="pct"/>
          </w:tcPr>
          <w:p w14:paraId="1D22D32E"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59801D4C" w14:textId="77777777" w:rsidTr="00C41C23">
        <w:tc>
          <w:tcPr>
            <w:tcW w:w="1740" w:type="pct"/>
          </w:tcPr>
          <w:p w14:paraId="5ED7FDDD" w14:textId="6C82575A"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6</w:t>
            </w:r>
            <w:r w:rsidR="00FB6176" w:rsidRPr="005C6DA5">
              <w:rPr>
                <w:rFonts w:ascii="Times New Roman" w:hAnsi="Times New Roman" w:cs="Times New Roman"/>
                <w:sz w:val="20"/>
                <w:szCs w:val="20"/>
              </w:rPr>
              <w:t>. Anxiolytics, hypnotics. Antipsychotic drugs</w:t>
            </w:r>
          </w:p>
        </w:tc>
        <w:tc>
          <w:tcPr>
            <w:tcW w:w="219" w:type="pct"/>
          </w:tcPr>
          <w:p w14:paraId="1F32E399"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1</w:t>
            </w:r>
          </w:p>
        </w:tc>
        <w:tc>
          <w:tcPr>
            <w:tcW w:w="219" w:type="pct"/>
          </w:tcPr>
          <w:p w14:paraId="7E523607"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32EF9564" w14:textId="586B38DD" w:rsidR="00FB6176" w:rsidRPr="00C41C23" w:rsidRDefault="003E0CA0"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2C42F811" w14:textId="24714E2E" w:rsidR="00FB6176" w:rsidRPr="00C41C23" w:rsidRDefault="003E0CA0"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20337CBE"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72455352"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689A69DF" w14:textId="77777777" w:rsidR="00FB6176" w:rsidRPr="00C41C23" w:rsidRDefault="00FB6176"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5</w:t>
            </w:r>
          </w:p>
        </w:tc>
        <w:tc>
          <w:tcPr>
            <w:tcW w:w="317" w:type="pct"/>
          </w:tcPr>
          <w:p w14:paraId="06DC7E3C" w14:textId="77777777" w:rsidR="00FB6176" w:rsidRPr="005C6DA5" w:rsidRDefault="00FB6176" w:rsidP="00FB6176">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5</w:t>
            </w:r>
          </w:p>
        </w:tc>
        <w:tc>
          <w:tcPr>
            <w:tcW w:w="1369" w:type="pct"/>
          </w:tcPr>
          <w:p w14:paraId="53E37EB1"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6CA03101" w14:textId="77777777" w:rsidTr="00C41C23">
        <w:tc>
          <w:tcPr>
            <w:tcW w:w="1740" w:type="pct"/>
          </w:tcPr>
          <w:p w14:paraId="22F0D403" w14:textId="3699D1F5"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7</w:t>
            </w:r>
            <w:r w:rsidR="00FB6176" w:rsidRPr="005C6DA5">
              <w:rPr>
                <w:rFonts w:ascii="Times New Roman" w:hAnsi="Times New Roman" w:cs="Times New Roman"/>
                <w:sz w:val="20"/>
                <w:szCs w:val="20"/>
              </w:rPr>
              <w:t>.</w:t>
            </w:r>
            <w:r w:rsidR="00FB6176" w:rsidRPr="005C6DA5">
              <w:t xml:space="preserve"> </w:t>
            </w:r>
            <w:r w:rsidR="00FB6176" w:rsidRPr="005C6DA5">
              <w:rPr>
                <w:rFonts w:ascii="Times New Roman" w:hAnsi="Times New Roman" w:cs="Times New Roman"/>
                <w:sz w:val="20"/>
                <w:szCs w:val="20"/>
              </w:rPr>
              <w:t>Antidepressants and drugs for treatment of mania</w:t>
            </w:r>
          </w:p>
        </w:tc>
        <w:tc>
          <w:tcPr>
            <w:tcW w:w="219" w:type="pct"/>
          </w:tcPr>
          <w:p w14:paraId="0C02440B"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1</w:t>
            </w:r>
          </w:p>
        </w:tc>
        <w:tc>
          <w:tcPr>
            <w:tcW w:w="219" w:type="pct"/>
          </w:tcPr>
          <w:p w14:paraId="4DF92260"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69A8A88B" w14:textId="32815196" w:rsidR="00FB6176" w:rsidRPr="00C41C23" w:rsidRDefault="003E0CA0"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0656DD60" w14:textId="2623A622" w:rsidR="00FB6176" w:rsidRPr="00C41C23" w:rsidRDefault="003E0CA0"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4D776F89"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79FEB56E"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3B8334EC" w14:textId="77777777" w:rsidR="00FB6176" w:rsidRPr="00C41C23" w:rsidRDefault="00FB6176"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5</w:t>
            </w:r>
          </w:p>
        </w:tc>
        <w:tc>
          <w:tcPr>
            <w:tcW w:w="317" w:type="pct"/>
          </w:tcPr>
          <w:p w14:paraId="3392143B" w14:textId="77777777" w:rsidR="00FB6176" w:rsidRPr="005C6DA5" w:rsidRDefault="00FB6176" w:rsidP="00FB6176">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5</w:t>
            </w:r>
          </w:p>
        </w:tc>
        <w:tc>
          <w:tcPr>
            <w:tcW w:w="1369" w:type="pct"/>
          </w:tcPr>
          <w:p w14:paraId="061EF4C1"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239F894B" w14:textId="77777777" w:rsidTr="00C41C23">
        <w:tc>
          <w:tcPr>
            <w:tcW w:w="1740" w:type="pct"/>
          </w:tcPr>
          <w:p w14:paraId="5884E999" w14:textId="2E54AE2E" w:rsidR="00FB6176" w:rsidRPr="005C6DA5" w:rsidRDefault="007D3B36" w:rsidP="00FB6176">
            <w:pPr>
              <w:spacing w:before="0"/>
              <w:rPr>
                <w:rFonts w:ascii="Times New Roman" w:hAnsi="Times New Roman" w:cs="Times New Roman"/>
                <w:sz w:val="20"/>
                <w:szCs w:val="20"/>
              </w:rPr>
            </w:pPr>
            <w:r>
              <w:rPr>
                <w:rFonts w:ascii="Times New Roman" w:hAnsi="Times New Roman" w:cs="Times New Roman"/>
                <w:sz w:val="20"/>
                <w:szCs w:val="20"/>
              </w:rPr>
              <w:t>8</w:t>
            </w:r>
            <w:r w:rsidR="00FB6176" w:rsidRPr="005C6DA5">
              <w:rPr>
                <w:rFonts w:ascii="Times New Roman" w:hAnsi="Times New Roman" w:cs="Times New Roman"/>
                <w:sz w:val="20"/>
                <w:szCs w:val="20"/>
              </w:rPr>
              <w:t xml:space="preserve">. Drugs for treatment of neurodegenerative disorders (Alzheimer, Parkinson, Huntington diseases). </w:t>
            </w:r>
            <w:proofErr w:type="spellStart"/>
            <w:r w:rsidR="00FB6176" w:rsidRPr="005C6DA5">
              <w:rPr>
                <w:rFonts w:ascii="Times New Roman" w:hAnsi="Times New Roman" w:cs="Times New Roman"/>
                <w:sz w:val="20"/>
                <w:szCs w:val="20"/>
              </w:rPr>
              <w:t>Antiepileptics</w:t>
            </w:r>
            <w:proofErr w:type="spellEnd"/>
          </w:p>
        </w:tc>
        <w:tc>
          <w:tcPr>
            <w:tcW w:w="219" w:type="pct"/>
          </w:tcPr>
          <w:p w14:paraId="7E0284B2"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41A99301"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21796E66" w14:textId="5D975B90" w:rsidR="00FB6176" w:rsidRPr="00C41C23" w:rsidRDefault="007D3B3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4</w:t>
            </w:r>
          </w:p>
        </w:tc>
        <w:tc>
          <w:tcPr>
            <w:tcW w:w="231" w:type="pct"/>
          </w:tcPr>
          <w:p w14:paraId="4A8CFB26" w14:textId="12A08A91" w:rsidR="00FB6176" w:rsidRPr="00C41C23" w:rsidRDefault="007D3B3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4</w:t>
            </w:r>
          </w:p>
        </w:tc>
        <w:tc>
          <w:tcPr>
            <w:tcW w:w="183" w:type="pct"/>
          </w:tcPr>
          <w:p w14:paraId="1D8BAE35"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12A6F316"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29C83F94" w14:textId="77777777" w:rsidR="00FB6176" w:rsidRPr="00C41C23" w:rsidRDefault="00FB6176"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10</w:t>
            </w:r>
          </w:p>
        </w:tc>
        <w:tc>
          <w:tcPr>
            <w:tcW w:w="317" w:type="pct"/>
          </w:tcPr>
          <w:p w14:paraId="023BC72B" w14:textId="77777777" w:rsidR="00FB6176" w:rsidRPr="005C6DA5" w:rsidRDefault="00FB6176" w:rsidP="00FB6176">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10</w:t>
            </w:r>
          </w:p>
        </w:tc>
        <w:tc>
          <w:tcPr>
            <w:tcW w:w="1369" w:type="pct"/>
          </w:tcPr>
          <w:p w14:paraId="4A546B27"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491013D9" w14:textId="77777777" w:rsidTr="00C41C23">
        <w:tc>
          <w:tcPr>
            <w:tcW w:w="1740" w:type="pct"/>
          </w:tcPr>
          <w:p w14:paraId="3A62CFB9" w14:textId="3B33BB38" w:rsidR="00FB6176" w:rsidRPr="005C6DA5" w:rsidRDefault="007D3B36" w:rsidP="00FB6176">
            <w:pPr>
              <w:spacing w:before="0"/>
              <w:rPr>
                <w:rFonts w:ascii="Times New Roman" w:hAnsi="Times New Roman" w:cs="Times New Roman"/>
                <w:sz w:val="20"/>
                <w:szCs w:val="20"/>
              </w:rPr>
            </w:pPr>
            <w:r>
              <w:rPr>
                <w:rFonts w:ascii="Times New Roman" w:hAnsi="Times New Roman" w:cs="Times New Roman"/>
                <w:sz w:val="20"/>
                <w:szCs w:val="20"/>
              </w:rPr>
              <w:t>9</w:t>
            </w:r>
            <w:r w:rsidR="00FB6176" w:rsidRPr="005C6DA5">
              <w:rPr>
                <w:rFonts w:ascii="Times New Roman" w:hAnsi="Times New Roman" w:cs="Times New Roman"/>
                <w:sz w:val="20"/>
                <w:szCs w:val="20"/>
              </w:rPr>
              <w:t>. Drugs acting on metabolism</w:t>
            </w:r>
          </w:p>
        </w:tc>
        <w:tc>
          <w:tcPr>
            <w:tcW w:w="219" w:type="pct"/>
          </w:tcPr>
          <w:p w14:paraId="7BC7BF00" w14:textId="356A45AF" w:rsidR="00FB6176" w:rsidRPr="00C41C23" w:rsidRDefault="00FD149B"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4</w:t>
            </w:r>
          </w:p>
        </w:tc>
        <w:tc>
          <w:tcPr>
            <w:tcW w:w="219" w:type="pct"/>
          </w:tcPr>
          <w:p w14:paraId="38F75830"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03FF0694" w14:textId="7CC447D2" w:rsidR="00FB6176" w:rsidRPr="00C41C23" w:rsidRDefault="00FD149B"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6</w:t>
            </w:r>
          </w:p>
        </w:tc>
        <w:tc>
          <w:tcPr>
            <w:tcW w:w="231" w:type="pct"/>
          </w:tcPr>
          <w:p w14:paraId="69AC06C6" w14:textId="110434BC" w:rsidR="00FB6176" w:rsidRPr="00C41C23" w:rsidRDefault="00FD149B"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6</w:t>
            </w:r>
          </w:p>
        </w:tc>
        <w:tc>
          <w:tcPr>
            <w:tcW w:w="183" w:type="pct"/>
          </w:tcPr>
          <w:p w14:paraId="078CBDD0"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3D5A8CE9"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55DC90E6" w14:textId="4CD9D415" w:rsidR="00FB6176" w:rsidRPr="00C41C23" w:rsidRDefault="00FD3180"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1</w:t>
            </w:r>
            <w:r w:rsidR="00FD149B" w:rsidRPr="00C41C23">
              <w:rPr>
                <w:rFonts w:ascii="Times New Roman" w:hAnsi="Times New Roman" w:cs="Times New Roman"/>
                <w:b/>
                <w:bCs/>
                <w:sz w:val="20"/>
                <w:szCs w:val="20"/>
              </w:rPr>
              <w:t>6</w:t>
            </w:r>
          </w:p>
        </w:tc>
        <w:tc>
          <w:tcPr>
            <w:tcW w:w="317" w:type="pct"/>
          </w:tcPr>
          <w:p w14:paraId="09AFA19F" w14:textId="2789FF48" w:rsidR="00FB6176" w:rsidRPr="005C6DA5" w:rsidRDefault="00FD3180"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1</w:t>
            </w:r>
            <w:r w:rsidR="00FD149B">
              <w:rPr>
                <w:rFonts w:ascii="Times New Roman" w:hAnsi="Times New Roman" w:cs="Times New Roman"/>
                <w:b/>
                <w:bCs/>
                <w:sz w:val="20"/>
                <w:szCs w:val="20"/>
              </w:rPr>
              <w:t>5</w:t>
            </w:r>
          </w:p>
        </w:tc>
        <w:tc>
          <w:tcPr>
            <w:tcW w:w="1369" w:type="pct"/>
          </w:tcPr>
          <w:p w14:paraId="31D810FA"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5E1F26E2" w14:textId="77777777" w:rsidTr="00C41C23">
        <w:tc>
          <w:tcPr>
            <w:tcW w:w="1740" w:type="pct"/>
          </w:tcPr>
          <w:p w14:paraId="08D63B2F" w14:textId="3F97CAE7" w:rsidR="00FB6176" w:rsidRPr="005C6DA5" w:rsidRDefault="007D3B36" w:rsidP="00FB6176">
            <w:pPr>
              <w:spacing w:before="0"/>
              <w:rPr>
                <w:rFonts w:ascii="Times New Roman" w:hAnsi="Times New Roman" w:cs="Times New Roman"/>
                <w:sz w:val="20"/>
                <w:szCs w:val="20"/>
              </w:rPr>
            </w:pPr>
            <w:r>
              <w:rPr>
                <w:rFonts w:ascii="Times New Roman" w:hAnsi="Times New Roman" w:cs="Times New Roman"/>
                <w:sz w:val="20"/>
                <w:szCs w:val="20"/>
              </w:rPr>
              <w:t xml:space="preserve">10. </w:t>
            </w:r>
            <w:r w:rsidRPr="005C6DA5">
              <w:rPr>
                <w:rFonts w:ascii="Times New Roman" w:hAnsi="Times New Roman" w:cs="Times New Roman"/>
                <w:sz w:val="20"/>
                <w:szCs w:val="20"/>
              </w:rPr>
              <w:t>Hormones and drugs acting on endocrine system.</w:t>
            </w:r>
          </w:p>
        </w:tc>
        <w:tc>
          <w:tcPr>
            <w:tcW w:w="219" w:type="pct"/>
          </w:tcPr>
          <w:p w14:paraId="1DA93B44" w14:textId="6A8BC396" w:rsidR="00FB6176" w:rsidRPr="00C41C23" w:rsidRDefault="00FB6176" w:rsidP="00FB6176">
            <w:pPr>
              <w:spacing w:before="0"/>
              <w:jc w:val="both"/>
              <w:rPr>
                <w:rFonts w:ascii="Times New Roman" w:hAnsi="Times New Roman" w:cs="Times New Roman"/>
                <w:sz w:val="20"/>
                <w:szCs w:val="20"/>
              </w:rPr>
            </w:pPr>
          </w:p>
        </w:tc>
        <w:tc>
          <w:tcPr>
            <w:tcW w:w="219" w:type="pct"/>
          </w:tcPr>
          <w:p w14:paraId="0053543B" w14:textId="74132AD2" w:rsidR="00FB6176" w:rsidRPr="00C41C23" w:rsidRDefault="00FD149B"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1</w:t>
            </w:r>
          </w:p>
        </w:tc>
        <w:tc>
          <w:tcPr>
            <w:tcW w:w="267" w:type="pct"/>
          </w:tcPr>
          <w:p w14:paraId="17D31B93" w14:textId="1E5EA6F0" w:rsidR="00FB6176" w:rsidRPr="00C41C23" w:rsidRDefault="00FD149B"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18D59C77" w14:textId="77777777" w:rsidR="00FB6176" w:rsidRPr="00C41C23" w:rsidRDefault="00FB6176" w:rsidP="00FB6176">
            <w:pPr>
              <w:spacing w:before="0"/>
              <w:jc w:val="both"/>
              <w:rPr>
                <w:rFonts w:ascii="Times New Roman" w:hAnsi="Times New Roman" w:cs="Times New Roman"/>
                <w:sz w:val="20"/>
                <w:szCs w:val="20"/>
              </w:rPr>
            </w:pPr>
          </w:p>
        </w:tc>
        <w:tc>
          <w:tcPr>
            <w:tcW w:w="183" w:type="pct"/>
          </w:tcPr>
          <w:p w14:paraId="55E03CB4"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1685AFA0"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21AF37D6" w14:textId="3037075A" w:rsidR="00FB6176" w:rsidRPr="00C41C23" w:rsidRDefault="00FD149B"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3</w:t>
            </w:r>
          </w:p>
        </w:tc>
        <w:tc>
          <w:tcPr>
            <w:tcW w:w="317" w:type="pct"/>
          </w:tcPr>
          <w:p w14:paraId="59FDD4BF" w14:textId="4A21CA15" w:rsidR="00FB6176" w:rsidRPr="005C6DA5" w:rsidRDefault="00FD149B"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1369" w:type="pct"/>
          </w:tcPr>
          <w:p w14:paraId="79D79294" w14:textId="77777777" w:rsidR="00FB6176" w:rsidRPr="005C6DA5" w:rsidRDefault="00FB6176" w:rsidP="00FB6176">
            <w:r w:rsidRPr="005C6DA5">
              <w:rPr>
                <w:rFonts w:ascii="Times New Roman" w:hAnsi="Times New Roman" w:cs="Times New Roman"/>
                <w:sz w:val="20"/>
                <w:szCs w:val="20"/>
              </w:rPr>
              <w:t>Preparation for the topic</w:t>
            </w:r>
          </w:p>
        </w:tc>
      </w:tr>
      <w:tr w:rsidR="00E85350" w:rsidRPr="005C6DA5" w14:paraId="498C5A82" w14:textId="77777777" w:rsidTr="00C41C23">
        <w:tc>
          <w:tcPr>
            <w:tcW w:w="1740" w:type="pct"/>
            <w:tcBorders>
              <w:top w:val="single" w:sz="12" w:space="0" w:color="auto"/>
              <w:bottom w:val="single" w:sz="12" w:space="0" w:color="auto"/>
            </w:tcBorders>
          </w:tcPr>
          <w:p w14:paraId="41E03C13" w14:textId="77777777" w:rsidR="00E85350" w:rsidRPr="005C6DA5" w:rsidRDefault="00E85350" w:rsidP="00C222AD">
            <w:pPr>
              <w:spacing w:before="0"/>
              <w:rPr>
                <w:rFonts w:ascii="Times New Roman" w:hAnsi="Times New Roman" w:cs="Times New Roman"/>
                <w:b/>
                <w:bCs/>
                <w:sz w:val="20"/>
                <w:szCs w:val="20"/>
              </w:rPr>
            </w:pPr>
            <w:r w:rsidRPr="005C6DA5">
              <w:rPr>
                <w:rFonts w:ascii="Times New Roman" w:hAnsi="Times New Roman" w:cs="Times New Roman"/>
                <w:b/>
                <w:bCs/>
                <w:sz w:val="20"/>
                <w:szCs w:val="20"/>
              </w:rPr>
              <w:t>Total</w:t>
            </w:r>
          </w:p>
          <w:p w14:paraId="526D6F61" w14:textId="77777777" w:rsidR="00E85350" w:rsidRPr="005C6DA5" w:rsidRDefault="00E85350" w:rsidP="00C222AD">
            <w:pPr>
              <w:spacing w:before="0"/>
              <w:rPr>
                <w:rFonts w:ascii="Times New Roman" w:hAnsi="Times New Roman" w:cs="Times New Roman"/>
                <w:b/>
                <w:bCs/>
                <w:sz w:val="20"/>
                <w:szCs w:val="20"/>
              </w:rPr>
            </w:pPr>
          </w:p>
        </w:tc>
        <w:tc>
          <w:tcPr>
            <w:tcW w:w="219" w:type="pct"/>
            <w:tcBorders>
              <w:top w:val="single" w:sz="12" w:space="0" w:color="auto"/>
              <w:bottom w:val="single" w:sz="12" w:space="0" w:color="auto"/>
            </w:tcBorders>
          </w:tcPr>
          <w:p w14:paraId="4B56CB35" w14:textId="7AB43C0C"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16</w:t>
            </w:r>
          </w:p>
        </w:tc>
        <w:tc>
          <w:tcPr>
            <w:tcW w:w="219" w:type="pct"/>
            <w:tcBorders>
              <w:top w:val="single" w:sz="12" w:space="0" w:color="auto"/>
              <w:bottom w:val="single" w:sz="12" w:space="0" w:color="auto"/>
            </w:tcBorders>
          </w:tcPr>
          <w:p w14:paraId="5BBE8A77" w14:textId="6F708F1E"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1</w:t>
            </w:r>
          </w:p>
        </w:tc>
        <w:tc>
          <w:tcPr>
            <w:tcW w:w="267" w:type="pct"/>
            <w:tcBorders>
              <w:top w:val="single" w:sz="12" w:space="0" w:color="auto"/>
              <w:bottom w:val="single" w:sz="12" w:space="0" w:color="auto"/>
            </w:tcBorders>
          </w:tcPr>
          <w:p w14:paraId="37D2EBBF" w14:textId="621B2BAD"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26</w:t>
            </w:r>
          </w:p>
        </w:tc>
        <w:tc>
          <w:tcPr>
            <w:tcW w:w="231" w:type="pct"/>
            <w:tcBorders>
              <w:top w:val="single" w:sz="12" w:space="0" w:color="auto"/>
              <w:bottom w:val="single" w:sz="12" w:space="0" w:color="auto"/>
            </w:tcBorders>
          </w:tcPr>
          <w:p w14:paraId="31AAC32C" w14:textId="670AC7B5"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24</w:t>
            </w:r>
          </w:p>
        </w:tc>
        <w:tc>
          <w:tcPr>
            <w:tcW w:w="183" w:type="pct"/>
            <w:tcBorders>
              <w:top w:val="single" w:sz="12" w:space="0" w:color="auto"/>
              <w:bottom w:val="single" w:sz="12" w:space="0" w:color="auto"/>
            </w:tcBorders>
          </w:tcPr>
          <w:p w14:paraId="7F0E3F14" w14:textId="77777777" w:rsidR="00E85350" w:rsidRPr="00C41C23" w:rsidRDefault="00E85350" w:rsidP="00C222AD">
            <w:pPr>
              <w:spacing w:before="0"/>
              <w:jc w:val="both"/>
              <w:rPr>
                <w:rFonts w:ascii="Times New Roman" w:hAnsi="Times New Roman" w:cs="Times New Roman"/>
                <w:b/>
                <w:bCs/>
                <w:sz w:val="20"/>
                <w:szCs w:val="20"/>
              </w:rPr>
            </w:pPr>
          </w:p>
        </w:tc>
        <w:tc>
          <w:tcPr>
            <w:tcW w:w="174" w:type="pct"/>
            <w:tcBorders>
              <w:top w:val="single" w:sz="12" w:space="0" w:color="auto"/>
              <w:bottom w:val="single" w:sz="12" w:space="0" w:color="auto"/>
            </w:tcBorders>
          </w:tcPr>
          <w:p w14:paraId="6096E923" w14:textId="77777777" w:rsidR="00E85350" w:rsidRPr="00C41C23" w:rsidRDefault="00E85350" w:rsidP="00C222AD">
            <w:pPr>
              <w:spacing w:before="0"/>
              <w:jc w:val="both"/>
              <w:rPr>
                <w:rFonts w:ascii="Times New Roman" w:hAnsi="Times New Roman" w:cs="Times New Roman"/>
                <w:b/>
                <w:bCs/>
                <w:sz w:val="20"/>
                <w:szCs w:val="20"/>
              </w:rPr>
            </w:pPr>
          </w:p>
        </w:tc>
        <w:tc>
          <w:tcPr>
            <w:tcW w:w="281" w:type="pct"/>
            <w:tcBorders>
              <w:top w:val="single" w:sz="12" w:space="0" w:color="auto"/>
              <w:bottom w:val="single" w:sz="12" w:space="0" w:color="auto"/>
            </w:tcBorders>
          </w:tcPr>
          <w:p w14:paraId="187ABBC2" w14:textId="61D422C3" w:rsidR="00E85350" w:rsidRPr="00C41C23" w:rsidRDefault="00C41C23"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67</w:t>
            </w:r>
          </w:p>
        </w:tc>
        <w:tc>
          <w:tcPr>
            <w:tcW w:w="317" w:type="pct"/>
            <w:tcBorders>
              <w:top w:val="single" w:sz="12" w:space="0" w:color="auto"/>
              <w:bottom w:val="single" w:sz="12" w:space="0" w:color="auto"/>
            </w:tcBorders>
          </w:tcPr>
          <w:p w14:paraId="3781C55D" w14:textId="70958B6F" w:rsidR="00E85350" w:rsidRPr="005C6DA5" w:rsidRDefault="00C41C23" w:rsidP="00C222AD">
            <w:pPr>
              <w:spacing w:before="0"/>
              <w:jc w:val="both"/>
              <w:rPr>
                <w:rFonts w:ascii="Times New Roman" w:hAnsi="Times New Roman" w:cs="Times New Roman"/>
                <w:b/>
                <w:bCs/>
                <w:sz w:val="20"/>
                <w:szCs w:val="20"/>
              </w:rPr>
            </w:pPr>
            <w:r>
              <w:rPr>
                <w:rFonts w:ascii="Times New Roman" w:hAnsi="Times New Roman" w:cs="Times New Roman"/>
                <w:b/>
                <w:bCs/>
                <w:sz w:val="20"/>
                <w:szCs w:val="20"/>
              </w:rPr>
              <w:t>67</w:t>
            </w:r>
          </w:p>
        </w:tc>
        <w:tc>
          <w:tcPr>
            <w:tcW w:w="1369" w:type="pct"/>
            <w:tcBorders>
              <w:top w:val="single" w:sz="12" w:space="0" w:color="auto"/>
              <w:bottom w:val="single" w:sz="12" w:space="0" w:color="auto"/>
            </w:tcBorders>
          </w:tcPr>
          <w:p w14:paraId="087D49FE" w14:textId="77777777" w:rsidR="00E85350" w:rsidRPr="005C6DA5" w:rsidRDefault="00E85350" w:rsidP="00BB618F">
            <w:pPr>
              <w:spacing w:before="0"/>
              <w:jc w:val="both"/>
              <w:rPr>
                <w:rFonts w:ascii="Times New Roman" w:hAnsi="Times New Roman" w:cs="Times New Roman"/>
                <w:sz w:val="20"/>
                <w:szCs w:val="20"/>
              </w:rPr>
            </w:pPr>
          </w:p>
        </w:tc>
      </w:tr>
    </w:tbl>
    <w:p w14:paraId="287900C6" w14:textId="77777777" w:rsidR="00E85350" w:rsidRPr="005C6DA5" w:rsidRDefault="00E85350" w:rsidP="00BB618F">
      <w:pPr>
        <w:spacing w:before="0"/>
        <w:rPr>
          <w:rFonts w:ascii="Times New Roman" w:hAnsi="Times New Roman" w:cs="Times New Roman"/>
          <w:sz w:val="20"/>
          <w:szCs w:val="20"/>
        </w:rPr>
      </w:pPr>
    </w:p>
    <w:p w14:paraId="451F73B6" w14:textId="77777777" w:rsidR="00FB6176" w:rsidRPr="005C6DA5" w:rsidRDefault="00FB6176" w:rsidP="00BB618F">
      <w:pPr>
        <w:spacing w:before="0"/>
        <w:rPr>
          <w:rFonts w:ascii="Times New Roman" w:hAnsi="Times New Roman" w:cs="Times New Roman"/>
          <w:sz w:val="20"/>
          <w:szCs w:val="20"/>
        </w:rPr>
      </w:pPr>
    </w:p>
    <w:p w14:paraId="62A6E767" w14:textId="77777777" w:rsidR="004F5AF3" w:rsidRPr="005C6DA5" w:rsidRDefault="004F5AF3" w:rsidP="00BB618F">
      <w:pPr>
        <w:spacing w:before="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466"/>
        <w:gridCol w:w="888"/>
        <w:gridCol w:w="1314"/>
        <w:gridCol w:w="4940"/>
      </w:tblGrid>
      <w:tr w:rsidR="00E85350" w:rsidRPr="005C6DA5" w14:paraId="25674343" w14:textId="77777777" w:rsidTr="00E47A95">
        <w:tc>
          <w:tcPr>
            <w:tcW w:w="1283" w:type="pct"/>
            <w:tcBorders>
              <w:top w:val="single" w:sz="12" w:space="0" w:color="auto"/>
            </w:tcBorders>
            <w:shd w:val="clear" w:color="auto" w:fill="E6E6E6"/>
          </w:tcPr>
          <w:p w14:paraId="380855E7"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Assessment strategy</w:t>
            </w:r>
          </w:p>
        </w:tc>
        <w:tc>
          <w:tcPr>
            <w:tcW w:w="462" w:type="pct"/>
            <w:tcBorders>
              <w:top w:val="single" w:sz="12" w:space="0" w:color="auto"/>
            </w:tcBorders>
            <w:shd w:val="clear" w:color="auto" w:fill="E6E6E6"/>
          </w:tcPr>
          <w:p w14:paraId="32D43F95"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Weight (%)</w:t>
            </w:r>
          </w:p>
        </w:tc>
        <w:tc>
          <w:tcPr>
            <w:tcW w:w="684" w:type="pct"/>
            <w:tcBorders>
              <w:top w:val="single" w:sz="12" w:space="0" w:color="auto"/>
            </w:tcBorders>
            <w:shd w:val="clear" w:color="auto" w:fill="E6E6E6"/>
          </w:tcPr>
          <w:p w14:paraId="1398079B"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 xml:space="preserve">Assessment period </w:t>
            </w:r>
          </w:p>
        </w:tc>
        <w:tc>
          <w:tcPr>
            <w:tcW w:w="2571" w:type="pct"/>
            <w:tcBorders>
              <w:top w:val="single" w:sz="12" w:space="0" w:color="auto"/>
            </w:tcBorders>
            <w:shd w:val="clear" w:color="auto" w:fill="E6E6E6"/>
          </w:tcPr>
          <w:p w14:paraId="4A687BEE"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Assessment criteria</w:t>
            </w:r>
          </w:p>
        </w:tc>
      </w:tr>
      <w:tr w:rsidR="00175CAD" w:rsidRPr="005C6DA5" w14:paraId="70018A3B" w14:textId="77777777" w:rsidTr="00E47A95">
        <w:tc>
          <w:tcPr>
            <w:tcW w:w="1283" w:type="pct"/>
          </w:tcPr>
          <w:p w14:paraId="058C271A" w14:textId="77777777" w:rsidR="00175CAD" w:rsidRPr="00BB618F" w:rsidRDefault="00175CAD" w:rsidP="00175CAD">
            <w:pPr>
              <w:spacing w:before="0"/>
              <w:jc w:val="both"/>
              <w:rPr>
                <w:rFonts w:ascii="Times New Roman" w:hAnsi="Times New Roman" w:cs="Times New Roman"/>
                <w:sz w:val="20"/>
                <w:szCs w:val="20"/>
              </w:rPr>
            </w:pPr>
            <w:r>
              <w:rPr>
                <w:rFonts w:ascii="Times New Roman" w:hAnsi="Times New Roman" w:cs="Times New Roman"/>
                <w:sz w:val="20"/>
                <w:szCs w:val="20"/>
              </w:rPr>
              <w:t>Assessment of knowledge and skills during every seminar (X)</w:t>
            </w:r>
          </w:p>
        </w:tc>
        <w:tc>
          <w:tcPr>
            <w:tcW w:w="462" w:type="pct"/>
          </w:tcPr>
          <w:p w14:paraId="6CC4C80A" w14:textId="77777777" w:rsidR="00175CAD" w:rsidRPr="00BB618F" w:rsidRDefault="00175CAD" w:rsidP="00175CAD">
            <w:pPr>
              <w:spacing w:before="0"/>
              <w:jc w:val="both"/>
              <w:rPr>
                <w:rFonts w:ascii="Times New Roman" w:hAnsi="Times New Roman" w:cs="Times New Roman"/>
                <w:sz w:val="20"/>
                <w:szCs w:val="20"/>
              </w:rPr>
            </w:pPr>
            <w:r>
              <w:rPr>
                <w:rFonts w:ascii="Times New Roman" w:hAnsi="Times New Roman" w:cs="Times New Roman"/>
                <w:sz w:val="20"/>
                <w:szCs w:val="20"/>
              </w:rPr>
              <w:t>20</w:t>
            </w:r>
          </w:p>
        </w:tc>
        <w:tc>
          <w:tcPr>
            <w:tcW w:w="684" w:type="pct"/>
          </w:tcPr>
          <w:p w14:paraId="543B1F4B" w14:textId="77777777" w:rsidR="00175CAD" w:rsidRPr="00BB618F" w:rsidRDefault="00175CAD" w:rsidP="003D655C">
            <w:pPr>
              <w:spacing w:before="0"/>
              <w:rPr>
                <w:rFonts w:ascii="Times New Roman" w:hAnsi="Times New Roman" w:cs="Times New Roman"/>
                <w:sz w:val="20"/>
                <w:szCs w:val="20"/>
              </w:rPr>
            </w:pPr>
            <w:r>
              <w:rPr>
                <w:rFonts w:ascii="Times New Roman" w:hAnsi="Times New Roman" w:cs="Times New Roman"/>
                <w:sz w:val="20"/>
                <w:szCs w:val="20"/>
              </w:rPr>
              <w:t>During semesters</w:t>
            </w:r>
          </w:p>
        </w:tc>
        <w:tc>
          <w:tcPr>
            <w:tcW w:w="2571" w:type="pct"/>
          </w:tcPr>
          <w:p w14:paraId="7B2C5D3B" w14:textId="77777777" w:rsidR="00175CAD" w:rsidRPr="00BB618F" w:rsidRDefault="00175CAD" w:rsidP="00175CAD">
            <w:pPr>
              <w:spacing w:before="0"/>
              <w:jc w:val="both"/>
              <w:rPr>
                <w:rFonts w:ascii="Times New Roman" w:hAnsi="Times New Roman" w:cs="Times New Roman"/>
                <w:sz w:val="20"/>
                <w:szCs w:val="20"/>
              </w:rPr>
            </w:pPr>
            <w:r>
              <w:rPr>
                <w:rFonts w:ascii="Times New Roman" w:hAnsi="Times New Roman" w:cs="Times New Roman"/>
                <w:sz w:val="20"/>
                <w:szCs w:val="20"/>
              </w:rPr>
              <w:t xml:space="preserve">Preparation for seminar </w:t>
            </w:r>
            <w:r w:rsidRPr="005C6DA5">
              <w:rPr>
                <w:rFonts w:ascii="Times New Roman" w:hAnsi="Times New Roman" w:cs="Times New Roman"/>
                <w:sz w:val="20"/>
                <w:szCs w:val="20"/>
              </w:rPr>
              <w:t xml:space="preserve">is assessed, as well as ability to use knowledge and facts in practice and problem solving, ability to choose right medicine for certain indication (disease or clinical situation), write a prescription. Knowledge of topics is assessed </w:t>
            </w:r>
            <w:r>
              <w:rPr>
                <w:rFonts w:ascii="Times New Roman" w:hAnsi="Times New Roman" w:cs="Times New Roman"/>
                <w:sz w:val="20"/>
                <w:szCs w:val="20"/>
              </w:rPr>
              <w:t xml:space="preserve">every seminar based on </w:t>
            </w:r>
            <w:r w:rsidRPr="005C6DA5">
              <w:rPr>
                <w:rFonts w:ascii="Times New Roman" w:hAnsi="Times New Roman" w:cs="Times New Roman"/>
                <w:sz w:val="20"/>
                <w:szCs w:val="20"/>
              </w:rPr>
              <w:t>methodology agreed in department of pharmacology: test, closed and open questions, practical tasks (</w:t>
            </w:r>
            <w:r w:rsidRPr="005C6DA5">
              <w:rPr>
                <w:rFonts w:ascii="Times New Roman" w:hAnsi="Times New Roman" w:cs="Times New Roman"/>
                <w:color w:val="222222"/>
                <w:sz w:val="20"/>
                <w:szCs w:val="20"/>
                <w:lang w:val="en"/>
              </w:rPr>
              <w:t>oral, in written, virtual).</w:t>
            </w:r>
          </w:p>
        </w:tc>
      </w:tr>
      <w:tr w:rsidR="008E703F" w:rsidRPr="005C6DA5" w14:paraId="72843E69" w14:textId="77777777" w:rsidTr="00E47A95">
        <w:trPr>
          <w:trHeight w:val="212"/>
        </w:trPr>
        <w:tc>
          <w:tcPr>
            <w:tcW w:w="1283" w:type="pct"/>
          </w:tcPr>
          <w:p w14:paraId="0620E58F" w14:textId="59B86A88" w:rsidR="008E703F" w:rsidRPr="00BB618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color w:val="000000"/>
                <w:sz w:val="20"/>
                <w:szCs w:val="20"/>
              </w:rPr>
              <w:t>Colloquiums (</w:t>
            </w:r>
            <w:r>
              <w:rPr>
                <w:rFonts w:ascii="Times New Roman" w:hAnsi="Times New Roman" w:cs="Times New Roman"/>
                <w:color w:val="000000"/>
                <w:sz w:val="20"/>
                <w:szCs w:val="20"/>
              </w:rPr>
              <w:t>two</w:t>
            </w:r>
            <w:r w:rsidRPr="005C6DA5">
              <w:rPr>
                <w:rFonts w:ascii="Times New Roman" w:hAnsi="Times New Roman" w:cs="Times New Roman"/>
                <w:color w:val="000000"/>
                <w:sz w:val="20"/>
                <w:szCs w:val="20"/>
              </w:rPr>
              <w:t xml:space="preserve"> in</w:t>
            </w:r>
            <w:r>
              <w:rPr>
                <w:rFonts w:ascii="Times New Roman" w:hAnsi="Times New Roman" w:cs="Times New Roman"/>
                <w:color w:val="000000"/>
                <w:sz w:val="20"/>
                <w:szCs w:val="20"/>
              </w:rPr>
              <w:t xml:space="preserve"> 4</w:t>
            </w:r>
            <w:r w:rsidRPr="002D2401">
              <w:rPr>
                <w:rFonts w:ascii="Times New Roman" w:hAnsi="Times New Roman" w:cs="Times New Roman"/>
                <w:color w:val="000000"/>
                <w:sz w:val="20"/>
                <w:szCs w:val="20"/>
                <w:vertAlign w:val="superscript"/>
              </w:rPr>
              <w:t>th</w:t>
            </w:r>
            <w:r w:rsidRPr="005C6DA5">
              <w:rPr>
                <w:rFonts w:ascii="Times New Roman" w:hAnsi="Times New Roman" w:cs="Times New Roman"/>
                <w:color w:val="000000"/>
                <w:sz w:val="20"/>
                <w:szCs w:val="20"/>
              </w:rPr>
              <w:t xml:space="preserve"> semester); (Y).</w:t>
            </w:r>
          </w:p>
        </w:tc>
        <w:tc>
          <w:tcPr>
            <w:tcW w:w="462" w:type="pct"/>
          </w:tcPr>
          <w:p w14:paraId="3713569F" w14:textId="77777777" w:rsidR="008E703F" w:rsidRPr="005C6DA5"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color w:val="000000"/>
                <w:sz w:val="20"/>
                <w:szCs w:val="20"/>
              </w:rPr>
              <w:t>20</w:t>
            </w:r>
          </w:p>
          <w:p w14:paraId="7BEEEA06" w14:textId="77777777" w:rsidR="008E703F" w:rsidRPr="00BB618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sz w:val="16"/>
                <w:szCs w:val="16"/>
              </w:rPr>
              <w:t>(colloquiums and control work)</w:t>
            </w:r>
          </w:p>
        </w:tc>
        <w:tc>
          <w:tcPr>
            <w:tcW w:w="684" w:type="pct"/>
          </w:tcPr>
          <w:p w14:paraId="1794E756" w14:textId="5A78E791" w:rsidR="008E703F" w:rsidRPr="00BB618F" w:rsidRDefault="008E703F" w:rsidP="003D655C">
            <w:pPr>
              <w:spacing w:before="0"/>
              <w:rPr>
                <w:rFonts w:ascii="Times New Roman" w:hAnsi="Times New Roman" w:cs="Times New Roman"/>
                <w:sz w:val="20"/>
                <w:szCs w:val="20"/>
              </w:rPr>
            </w:pPr>
            <w:r>
              <w:rPr>
                <w:rFonts w:ascii="Times New Roman" w:hAnsi="Times New Roman" w:cs="Times New Roman"/>
                <w:sz w:val="20"/>
                <w:szCs w:val="20"/>
              </w:rPr>
              <w:t>First colloquium</w:t>
            </w:r>
            <w:r w:rsidR="00D5511F">
              <w:rPr>
                <w:rFonts w:ascii="Times New Roman" w:hAnsi="Times New Roman" w:cs="Times New Roman"/>
                <w:sz w:val="20"/>
                <w:szCs w:val="20"/>
              </w:rPr>
              <w:t xml:space="preserve"> </w:t>
            </w:r>
            <w:r>
              <w:rPr>
                <w:rFonts w:ascii="Times New Roman" w:hAnsi="Times New Roman" w:cs="Times New Roman"/>
                <w:sz w:val="20"/>
                <w:szCs w:val="20"/>
              </w:rPr>
              <w:t xml:space="preserve">- from 1-4 topics, second colloquium – from 5-8 topics. Colloquiums dates are announced </w:t>
            </w:r>
            <w:r w:rsidR="005361D9">
              <w:rPr>
                <w:rFonts w:ascii="Times New Roman" w:hAnsi="Times New Roman" w:cs="Times New Roman"/>
                <w:sz w:val="20"/>
                <w:szCs w:val="20"/>
              </w:rPr>
              <w:t>at the be</w:t>
            </w:r>
            <w:r w:rsidR="006C0142">
              <w:rPr>
                <w:rFonts w:ascii="Times New Roman" w:hAnsi="Times New Roman" w:cs="Times New Roman"/>
                <w:sz w:val="20"/>
                <w:szCs w:val="20"/>
              </w:rPr>
              <w:t>ginning of 4</w:t>
            </w:r>
            <w:r w:rsidR="006C0142" w:rsidRPr="006C0142">
              <w:rPr>
                <w:rFonts w:ascii="Times New Roman" w:hAnsi="Times New Roman" w:cs="Times New Roman"/>
                <w:sz w:val="20"/>
                <w:szCs w:val="20"/>
                <w:vertAlign w:val="superscript"/>
              </w:rPr>
              <w:t>th</w:t>
            </w:r>
            <w:r w:rsidR="006C0142">
              <w:rPr>
                <w:rFonts w:ascii="Times New Roman" w:hAnsi="Times New Roman" w:cs="Times New Roman"/>
                <w:sz w:val="20"/>
                <w:szCs w:val="20"/>
              </w:rPr>
              <w:t xml:space="preserve"> </w:t>
            </w:r>
            <w:r w:rsidR="006C0142">
              <w:rPr>
                <w:rFonts w:ascii="Times New Roman" w:hAnsi="Times New Roman" w:cs="Times New Roman"/>
                <w:sz w:val="20"/>
                <w:szCs w:val="20"/>
              </w:rPr>
              <w:lastRenderedPageBreak/>
              <w:t>semester (</w:t>
            </w:r>
            <w:r>
              <w:rPr>
                <w:rFonts w:ascii="Times New Roman" w:hAnsi="Times New Roman" w:cs="Times New Roman"/>
                <w:sz w:val="20"/>
                <w:szCs w:val="20"/>
              </w:rPr>
              <w:t>during first lecture and seminar</w:t>
            </w:r>
            <w:r w:rsidR="006C0142">
              <w:rPr>
                <w:rFonts w:ascii="Times New Roman" w:hAnsi="Times New Roman" w:cs="Times New Roman"/>
                <w:sz w:val="20"/>
                <w:szCs w:val="20"/>
              </w:rPr>
              <w:t>)</w:t>
            </w:r>
            <w:r>
              <w:rPr>
                <w:rFonts w:ascii="Times New Roman" w:hAnsi="Times New Roman" w:cs="Times New Roman"/>
                <w:sz w:val="20"/>
                <w:szCs w:val="20"/>
              </w:rPr>
              <w:t>.</w:t>
            </w:r>
          </w:p>
        </w:tc>
        <w:tc>
          <w:tcPr>
            <w:tcW w:w="2571" w:type="pct"/>
          </w:tcPr>
          <w:p w14:paraId="3DC63FA1" w14:textId="77777777" w:rsidR="008E703F" w:rsidRPr="006C328A" w:rsidRDefault="008E703F" w:rsidP="008E703F">
            <w:pPr>
              <w:spacing w:before="0"/>
              <w:jc w:val="both"/>
              <w:rPr>
                <w:rFonts w:ascii="Times New Roman" w:hAnsi="Times New Roman" w:cs="Times New Roman"/>
                <w:sz w:val="20"/>
                <w:szCs w:val="20"/>
              </w:rPr>
            </w:pPr>
            <w:r w:rsidRPr="00C11ECC">
              <w:rPr>
                <w:rFonts w:ascii="Times New Roman" w:hAnsi="Times New Roman" w:cs="Times New Roman"/>
                <w:color w:val="222222"/>
                <w:sz w:val="20"/>
                <w:szCs w:val="20"/>
              </w:rPr>
              <w:lastRenderedPageBreak/>
              <w:t xml:space="preserve">Only if all seminars and practical classes are attended and knowledge level is acceptable (based on assessment score of each seminar and practical class), student is eligible to take the colloquium. </w:t>
            </w:r>
            <w:r w:rsidRPr="006C328A">
              <w:rPr>
                <w:rFonts w:ascii="Times New Roman" w:hAnsi="Times New Roman" w:cs="Times New Roman"/>
                <w:sz w:val="20"/>
                <w:szCs w:val="20"/>
              </w:rPr>
              <w:t>Knowledge is assess</w:t>
            </w:r>
            <w:r w:rsidRPr="00376F4C">
              <w:rPr>
                <w:rFonts w:ascii="Times New Roman" w:hAnsi="Times New Roman" w:cs="Times New Roman"/>
                <w:sz w:val="20"/>
                <w:szCs w:val="20"/>
              </w:rPr>
              <w:t>ed by methodology agreed in department of pharmacology: test, closed and open questions, practical tasks (</w:t>
            </w:r>
            <w:r w:rsidRPr="00C11ECC">
              <w:rPr>
                <w:rFonts w:ascii="Times New Roman" w:hAnsi="Times New Roman" w:cs="Times New Roman"/>
                <w:color w:val="222222"/>
                <w:sz w:val="20"/>
                <w:szCs w:val="20"/>
              </w:rPr>
              <w:t>oral, in written, virtual).</w:t>
            </w:r>
          </w:p>
          <w:p w14:paraId="7983E112" w14:textId="77777777" w:rsidR="008E703F" w:rsidRPr="00376F4C" w:rsidRDefault="008E703F" w:rsidP="008E703F">
            <w:pPr>
              <w:spacing w:before="0"/>
              <w:jc w:val="both"/>
              <w:rPr>
                <w:rFonts w:ascii="Times New Roman" w:hAnsi="Times New Roman" w:cs="Times New Roman"/>
                <w:sz w:val="20"/>
                <w:szCs w:val="20"/>
              </w:rPr>
            </w:pPr>
            <w:r w:rsidRPr="00054638">
              <w:rPr>
                <w:rFonts w:ascii="Times New Roman" w:hAnsi="Times New Roman" w:cs="Times New Roman"/>
                <w:sz w:val="20"/>
                <w:szCs w:val="20"/>
              </w:rPr>
              <w:t>Every colloquium consists of two parts: multi choice questions and open questions (the format could be changed with remaining assessing methods). Totally, 75 points may be collected. Final number of points is based on correct (correct answer is evaluated as positive point) and incorrect (incorrect answer is evaluated as negative point)</w:t>
            </w:r>
            <w:r>
              <w:rPr>
                <w:rFonts w:ascii="Times New Roman" w:hAnsi="Times New Roman" w:cs="Times New Roman"/>
                <w:sz w:val="20"/>
                <w:szCs w:val="20"/>
              </w:rPr>
              <w:t xml:space="preserve"> </w:t>
            </w:r>
            <w:r w:rsidRPr="009622B8">
              <w:rPr>
                <w:rFonts w:ascii="Times New Roman" w:hAnsi="Times New Roman" w:cs="Times New Roman"/>
                <w:sz w:val="20"/>
                <w:szCs w:val="20"/>
              </w:rPr>
              <w:t>answers</w:t>
            </w:r>
            <w:r>
              <w:rPr>
                <w:rFonts w:ascii="Times New Roman" w:hAnsi="Times New Roman" w:cs="Times New Roman"/>
                <w:sz w:val="20"/>
                <w:szCs w:val="20"/>
              </w:rPr>
              <w:t>,</w:t>
            </w:r>
            <w:r w:rsidRPr="006C328A">
              <w:rPr>
                <w:rFonts w:ascii="Times New Roman" w:hAnsi="Times New Roman" w:cs="Times New Roman"/>
                <w:sz w:val="20"/>
                <w:szCs w:val="20"/>
              </w:rPr>
              <w:t xml:space="preserve"> </w:t>
            </w:r>
            <w:r w:rsidRPr="00376F4C">
              <w:rPr>
                <w:rFonts w:ascii="Times New Roman" w:hAnsi="Times New Roman" w:cs="Times New Roman"/>
                <w:sz w:val="20"/>
                <w:szCs w:val="20"/>
              </w:rPr>
              <w:lastRenderedPageBreak/>
              <w:t xml:space="preserve">and </w:t>
            </w:r>
            <w:r w:rsidRPr="00054638">
              <w:rPr>
                <w:rFonts w:ascii="Times New Roman" w:hAnsi="Times New Roman" w:cs="Times New Roman"/>
                <w:sz w:val="20"/>
                <w:szCs w:val="20"/>
              </w:rPr>
              <w:t>is converted to the final score according</w:t>
            </w:r>
            <w:r w:rsidRPr="006A7192">
              <w:rPr>
                <w:rFonts w:ascii="Times New Roman" w:hAnsi="Times New Roman" w:cs="Times New Roman"/>
                <w:sz w:val="20"/>
                <w:szCs w:val="20"/>
              </w:rPr>
              <w:t xml:space="preserve"> methodology agreed in department of pharmacology</w:t>
            </w:r>
            <w:r>
              <w:rPr>
                <w:rFonts w:ascii="Times New Roman" w:hAnsi="Times New Roman" w:cs="Times New Roman"/>
                <w:sz w:val="20"/>
                <w:szCs w:val="20"/>
              </w:rPr>
              <w:t xml:space="preserve"> (evaluation policy)</w:t>
            </w:r>
            <w:r w:rsidRPr="006A7192">
              <w:rPr>
                <w:rFonts w:ascii="Times New Roman" w:hAnsi="Times New Roman" w:cs="Times New Roman"/>
                <w:sz w:val="20"/>
                <w:szCs w:val="20"/>
              </w:rPr>
              <w:t xml:space="preserve"> and the official scheme of Vilnius univer</w:t>
            </w:r>
            <w:r>
              <w:rPr>
                <w:rFonts w:ascii="Times New Roman" w:hAnsi="Times New Roman" w:cs="Times New Roman"/>
                <w:sz w:val="20"/>
                <w:szCs w:val="20"/>
              </w:rPr>
              <w:t xml:space="preserve">sity </w:t>
            </w:r>
            <w:r w:rsidRPr="00054638">
              <w:rPr>
                <w:rFonts w:ascii="Times New Roman" w:hAnsi="Times New Roman" w:cs="Times New Roman"/>
                <w:sz w:val="20"/>
                <w:szCs w:val="20"/>
              </w:rPr>
              <w:t>(</w:t>
            </w:r>
            <w:r w:rsidRPr="00C11ECC">
              <w:rPr>
                <w:rFonts w:ascii="Times New Roman" w:hAnsi="Times New Roman" w:cs="Times New Roman"/>
                <w:bCs/>
                <w:sz w:val="20"/>
                <w:szCs w:val="20"/>
              </w:rPr>
              <w:sym w:font="Symbol" w:char="F0B3"/>
            </w:r>
            <w:r w:rsidRPr="00C11ECC">
              <w:rPr>
                <w:rFonts w:ascii="Times New Roman" w:hAnsi="Times New Roman" w:cs="Times New Roman"/>
                <w:bCs/>
                <w:sz w:val="20"/>
                <w:szCs w:val="20"/>
              </w:rPr>
              <w:t xml:space="preserve"> 92</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of correct points – score is 10, 82 - 91</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9, 74 - 81</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8, 66 - 73</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7, 58 - 65</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6, 50 - 57</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5</w:t>
            </w:r>
            <w:r>
              <w:rPr>
                <w:rFonts w:ascii="Times New Roman" w:hAnsi="Times New Roman" w:cs="Times New Roman"/>
                <w:bCs/>
                <w:sz w:val="20"/>
                <w:szCs w:val="20"/>
              </w:rPr>
              <w:t>).</w:t>
            </w:r>
          </w:p>
          <w:p w14:paraId="5E25FDBE" w14:textId="0317105C" w:rsidR="008E703F" w:rsidRPr="00E47A95" w:rsidRDefault="008E703F" w:rsidP="008E703F">
            <w:pPr>
              <w:spacing w:before="0"/>
              <w:jc w:val="both"/>
              <w:rPr>
                <w:rFonts w:ascii="Times New Roman" w:hAnsi="Times New Roman" w:cs="Times New Roman"/>
                <w:color w:val="222222"/>
                <w:sz w:val="20"/>
                <w:szCs w:val="20"/>
              </w:rPr>
            </w:pPr>
            <w:r w:rsidRPr="00C11ECC">
              <w:rPr>
                <w:rFonts w:ascii="Times New Roman" w:hAnsi="Times New Roman" w:cs="Times New Roman"/>
                <w:color w:val="222222"/>
                <w:sz w:val="20"/>
                <w:szCs w:val="20"/>
              </w:rPr>
              <w:t>Passing score of colloquiums is not less than 5. If student doesn’t pass or doesn’t attend the colloquium duo serious reasons (ex. disease), it can be retaken once during the semester (written). Overall colloquium can be retaken three times. If student retakes the colloquium a third time, assessment will be oral and/or with commission.</w:t>
            </w:r>
          </w:p>
        </w:tc>
      </w:tr>
      <w:tr w:rsidR="008E703F" w:rsidRPr="005C6DA5" w14:paraId="53C38716" w14:textId="77777777" w:rsidTr="00A92032">
        <w:trPr>
          <w:trHeight w:val="212"/>
        </w:trPr>
        <w:tc>
          <w:tcPr>
            <w:tcW w:w="1283" w:type="pct"/>
          </w:tcPr>
          <w:p w14:paraId="565B3190" w14:textId="77777777" w:rsidR="008E703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sz w:val="20"/>
                <w:szCs w:val="20"/>
              </w:rPr>
              <w:lastRenderedPageBreak/>
              <w:t>Control work (one in 4</w:t>
            </w:r>
            <w:r w:rsidRPr="005C6DA5">
              <w:rPr>
                <w:rFonts w:ascii="Times New Roman" w:hAnsi="Times New Roman" w:cs="Times New Roman"/>
                <w:sz w:val="20"/>
                <w:szCs w:val="20"/>
                <w:vertAlign w:val="superscript"/>
              </w:rPr>
              <w:t>th</w:t>
            </w:r>
            <w:r w:rsidRPr="005C6DA5">
              <w:rPr>
                <w:rFonts w:ascii="Times New Roman" w:hAnsi="Times New Roman" w:cs="Times New Roman"/>
                <w:sz w:val="20"/>
                <w:szCs w:val="20"/>
              </w:rPr>
              <w:t xml:space="preserve"> semester); </w:t>
            </w:r>
            <w:r w:rsidRPr="005C6DA5">
              <w:rPr>
                <w:rFonts w:ascii="Times New Roman" w:hAnsi="Times New Roman" w:cs="Times New Roman"/>
                <w:color w:val="000000"/>
                <w:sz w:val="20"/>
                <w:szCs w:val="20"/>
              </w:rPr>
              <w:t>(Y).</w:t>
            </w:r>
          </w:p>
        </w:tc>
        <w:tc>
          <w:tcPr>
            <w:tcW w:w="462" w:type="pct"/>
          </w:tcPr>
          <w:p w14:paraId="03893F0D" w14:textId="77777777" w:rsidR="008E703F" w:rsidRPr="005C6DA5"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color w:val="000000"/>
                <w:sz w:val="20"/>
                <w:szCs w:val="20"/>
              </w:rPr>
              <w:t>20</w:t>
            </w:r>
          </w:p>
          <w:p w14:paraId="4344921D" w14:textId="77777777" w:rsidR="008E703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sz w:val="16"/>
                <w:szCs w:val="16"/>
              </w:rPr>
              <w:t>(colloquiums and control work)</w:t>
            </w:r>
          </w:p>
        </w:tc>
        <w:tc>
          <w:tcPr>
            <w:tcW w:w="684" w:type="pct"/>
          </w:tcPr>
          <w:p w14:paraId="38A64BCF" w14:textId="059C93EF" w:rsidR="008E703F" w:rsidRDefault="005F064C" w:rsidP="003D655C">
            <w:pPr>
              <w:spacing w:before="0"/>
              <w:rPr>
                <w:rFonts w:ascii="Times New Roman" w:hAnsi="Times New Roman" w:cs="Times New Roman"/>
                <w:sz w:val="20"/>
                <w:szCs w:val="20"/>
              </w:rPr>
            </w:pPr>
            <w:r w:rsidRPr="006A7192">
              <w:rPr>
                <w:rFonts w:ascii="Times New Roman" w:hAnsi="Times New Roman" w:cs="Times New Roman"/>
                <w:sz w:val="20"/>
                <w:szCs w:val="20"/>
              </w:rPr>
              <w:t xml:space="preserve">One until the end </w:t>
            </w:r>
            <w:r w:rsidRPr="00265839">
              <w:rPr>
                <w:rFonts w:ascii="Times New Roman" w:hAnsi="Times New Roman" w:cs="Times New Roman"/>
                <w:sz w:val="20"/>
                <w:szCs w:val="20"/>
              </w:rPr>
              <w:t>of May</w:t>
            </w:r>
          </w:p>
        </w:tc>
        <w:tc>
          <w:tcPr>
            <w:tcW w:w="2571" w:type="pct"/>
          </w:tcPr>
          <w:p w14:paraId="5EB725E7" w14:textId="77777777" w:rsidR="008E703F" w:rsidRPr="005C6DA5" w:rsidRDefault="008E703F" w:rsidP="008E703F">
            <w:pPr>
              <w:spacing w:before="0"/>
              <w:jc w:val="both"/>
              <w:rPr>
                <w:rFonts w:ascii="Times New Roman" w:hAnsi="Times New Roman" w:cs="Times New Roman"/>
                <w:sz w:val="20"/>
                <w:szCs w:val="20"/>
              </w:rPr>
            </w:pPr>
            <w:r w:rsidRPr="005C6DA5">
              <w:rPr>
                <w:rFonts w:ascii="Times New Roman" w:hAnsi="Times New Roman" w:cs="Times New Roman"/>
                <w:color w:val="222222"/>
                <w:sz w:val="20"/>
                <w:szCs w:val="20"/>
                <w:lang w:val="en"/>
              </w:rPr>
              <w:t>Only if all</w:t>
            </w:r>
            <w:r>
              <w:rPr>
                <w:rFonts w:ascii="Times New Roman" w:hAnsi="Times New Roman" w:cs="Times New Roman"/>
                <w:color w:val="222222"/>
                <w:sz w:val="20"/>
                <w:szCs w:val="20"/>
                <w:lang w:val="en"/>
              </w:rPr>
              <w:t xml:space="preserve"> seminars </w:t>
            </w:r>
            <w:r w:rsidRPr="005C6DA5">
              <w:rPr>
                <w:rFonts w:ascii="Times New Roman" w:hAnsi="Times New Roman" w:cs="Times New Roman"/>
                <w:color w:val="222222"/>
                <w:sz w:val="20"/>
                <w:szCs w:val="20"/>
                <w:lang w:val="en"/>
              </w:rPr>
              <w:t xml:space="preserve">of control work topics are attended and knowledge level is acceptable (based on assessment score of </w:t>
            </w:r>
            <w:r>
              <w:rPr>
                <w:rFonts w:ascii="Times New Roman" w:hAnsi="Times New Roman" w:cs="Times New Roman"/>
                <w:color w:val="222222"/>
                <w:sz w:val="20"/>
                <w:szCs w:val="20"/>
                <w:lang w:val="en"/>
              </w:rPr>
              <w:t>each seminar</w:t>
            </w:r>
            <w:r w:rsidRPr="005C6DA5">
              <w:rPr>
                <w:rFonts w:ascii="Times New Roman" w:hAnsi="Times New Roman" w:cs="Times New Roman"/>
                <w:color w:val="222222"/>
                <w:sz w:val="20"/>
                <w:szCs w:val="20"/>
                <w:lang w:val="en"/>
              </w:rPr>
              <w:t xml:space="preserve">), student is eligible to take the control work. </w:t>
            </w:r>
            <w:r w:rsidRPr="005C6DA5">
              <w:rPr>
                <w:rFonts w:ascii="Times New Roman" w:hAnsi="Times New Roman" w:cs="Times New Roman"/>
                <w:sz w:val="20"/>
                <w:szCs w:val="20"/>
              </w:rPr>
              <w:t>Knowledge is assessed by methodology agreed in department of pharmacology: test, closed and open questions, practical tasks (</w:t>
            </w:r>
            <w:r w:rsidRPr="005C6DA5">
              <w:rPr>
                <w:rFonts w:ascii="Times New Roman" w:hAnsi="Times New Roman" w:cs="Times New Roman"/>
                <w:color w:val="222222"/>
                <w:sz w:val="20"/>
                <w:szCs w:val="20"/>
                <w:lang w:val="en"/>
              </w:rPr>
              <w:t>oral, in written, virtual).</w:t>
            </w:r>
          </w:p>
          <w:p w14:paraId="333609BA" w14:textId="77777777" w:rsidR="008E703F" w:rsidRPr="005C6DA5" w:rsidRDefault="008E703F" w:rsidP="008E703F">
            <w:pPr>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Control work consists of multi choice questions, open questions and practical tasks (the format could be changed with remaining assessing methods). </w:t>
            </w:r>
          </w:p>
          <w:p w14:paraId="3B1FF33F" w14:textId="38CECC98" w:rsidR="008E703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color w:val="222222"/>
                <w:sz w:val="20"/>
                <w:szCs w:val="20"/>
                <w:lang w:val="en"/>
              </w:rPr>
              <w:t>Passing score of control work is not less than 5. If student doesn’t pass or doesn’t attend the control work duo serious reasons (ex. disease), it can be retaken once during the semester (written). Overall control work can be retaken three times. If student retakes the control work a third time, assessment will be oral and/or with commission.</w:t>
            </w:r>
          </w:p>
        </w:tc>
      </w:tr>
      <w:tr w:rsidR="008E703F" w:rsidRPr="005C6DA5" w14:paraId="4B20E31C" w14:textId="77777777" w:rsidTr="00E47A95">
        <w:tc>
          <w:tcPr>
            <w:tcW w:w="1283" w:type="pct"/>
            <w:tcBorders>
              <w:bottom w:val="single" w:sz="12" w:space="0" w:color="auto"/>
            </w:tcBorders>
          </w:tcPr>
          <w:p w14:paraId="0F22309C" w14:textId="5EB3C78B" w:rsidR="008E703F" w:rsidRPr="00BB618F" w:rsidRDefault="00551652" w:rsidP="008E703F">
            <w:pPr>
              <w:spacing w:before="0"/>
              <w:rPr>
                <w:rFonts w:ascii="Times New Roman" w:hAnsi="Times New Roman" w:cs="Times New Roman"/>
                <w:sz w:val="20"/>
                <w:szCs w:val="20"/>
              </w:rPr>
            </w:pPr>
            <w:r>
              <w:rPr>
                <w:rFonts w:ascii="Times New Roman" w:hAnsi="Times New Roman" w:cs="Times New Roman"/>
                <w:sz w:val="20"/>
                <w:szCs w:val="20"/>
              </w:rPr>
              <w:t>End of 4</w:t>
            </w:r>
            <w:r w:rsidRPr="00551652">
              <w:rPr>
                <w:rFonts w:ascii="Times New Roman" w:hAnsi="Times New Roman" w:cs="Times New Roman"/>
                <w:sz w:val="20"/>
                <w:szCs w:val="20"/>
                <w:vertAlign w:val="superscript"/>
              </w:rPr>
              <w:t>th</w:t>
            </w:r>
            <w:r>
              <w:rPr>
                <w:rFonts w:ascii="Times New Roman" w:hAnsi="Times New Roman" w:cs="Times New Roman"/>
                <w:sz w:val="20"/>
                <w:szCs w:val="20"/>
              </w:rPr>
              <w:t xml:space="preserve"> semester</w:t>
            </w:r>
          </w:p>
        </w:tc>
        <w:tc>
          <w:tcPr>
            <w:tcW w:w="462" w:type="pct"/>
            <w:tcBorders>
              <w:bottom w:val="single" w:sz="12" w:space="0" w:color="auto"/>
            </w:tcBorders>
          </w:tcPr>
          <w:p w14:paraId="2DAF8D71" w14:textId="7A24227A" w:rsidR="008E703F" w:rsidRPr="00BB618F" w:rsidRDefault="008E703F" w:rsidP="008E703F">
            <w:pPr>
              <w:spacing w:before="0"/>
              <w:jc w:val="both"/>
              <w:rPr>
                <w:rFonts w:ascii="Times New Roman" w:hAnsi="Times New Roman" w:cs="Times New Roman"/>
                <w:sz w:val="20"/>
                <w:szCs w:val="20"/>
              </w:rPr>
            </w:pPr>
          </w:p>
        </w:tc>
        <w:tc>
          <w:tcPr>
            <w:tcW w:w="684" w:type="pct"/>
            <w:tcBorders>
              <w:bottom w:val="single" w:sz="12" w:space="0" w:color="auto"/>
            </w:tcBorders>
          </w:tcPr>
          <w:p w14:paraId="42D1E771" w14:textId="24FA8B9D" w:rsidR="008E703F" w:rsidRPr="00BB618F" w:rsidRDefault="00551652" w:rsidP="003D655C">
            <w:pPr>
              <w:spacing w:before="0"/>
              <w:rPr>
                <w:rFonts w:ascii="Times New Roman" w:hAnsi="Times New Roman" w:cs="Times New Roman"/>
                <w:sz w:val="20"/>
                <w:szCs w:val="20"/>
              </w:rPr>
            </w:pPr>
            <w:r>
              <w:rPr>
                <w:rFonts w:ascii="Times New Roman" w:hAnsi="Times New Roman" w:cs="Times New Roman"/>
                <w:sz w:val="20"/>
                <w:szCs w:val="20"/>
              </w:rPr>
              <w:t>May 31</w:t>
            </w:r>
            <w:r w:rsidRPr="00551652">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00A92032">
              <w:rPr>
                <w:rFonts w:ascii="Times New Roman" w:hAnsi="Times New Roman" w:cs="Times New Roman"/>
                <w:sz w:val="20"/>
                <w:szCs w:val="20"/>
              </w:rPr>
              <w:t>(cumulative)</w:t>
            </w:r>
          </w:p>
        </w:tc>
        <w:tc>
          <w:tcPr>
            <w:tcW w:w="2571" w:type="pct"/>
            <w:tcBorders>
              <w:bottom w:val="single" w:sz="12" w:space="0" w:color="auto"/>
            </w:tcBorders>
          </w:tcPr>
          <w:p w14:paraId="17419C96" w14:textId="3FBD0E96" w:rsidR="008E703F" w:rsidRPr="00BB618F" w:rsidRDefault="00B30EAF" w:rsidP="008E703F">
            <w:pPr>
              <w:spacing w:before="0"/>
              <w:jc w:val="both"/>
              <w:rPr>
                <w:rFonts w:ascii="Times New Roman" w:hAnsi="Times New Roman" w:cs="Times New Roman"/>
                <w:sz w:val="20"/>
                <w:szCs w:val="20"/>
              </w:rPr>
            </w:pPr>
            <w:r w:rsidRPr="00C11ECC">
              <w:rPr>
                <w:rFonts w:ascii="Times New Roman" w:hAnsi="Times New Roman" w:cs="Times New Roman"/>
                <w:color w:val="222222"/>
                <w:sz w:val="20"/>
                <w:szCs w:val="20"/>
              </w:rPr>
              <w:t>Student gets pharmacology credit of 4</w:t>
            </w:r>
            <w:r w:rsidRPr="00C11ECC">
              <w:rPr>
                <w:rFonts w:ascii="Times New Roman" w:hAnsi="Times New Roman" w:cs="Times New Roman"/>
                <w:color w:val="222222"/>
                <w:sz w:val="20"/>
                <w:szCs w:val="20"/>
                <w:vertAlign w:val="superscript"/>
              </w:rPr>
              <w:t>th</w:t>
            </w:r>
            <w:r w:rsidRPr="00C11ECC">
              <w:rPr>
                <w:rFonts w:ascii="Times New Roman" w:hAnsi="Times New Roman" w:cs="Times New Roman"/>
                <w:color w:val="222222"/>
                <w:sz w:val="20"/>
                <w:szCs w:val="20"/>
              </w:rPr>
              <w:t xml:space="preserve"> semester if both 4</w:t>
            </w:r>
            <w:r w:rsidRPr="00C11ECC">
              <w:rPr>
                <w:rFonts w:ascii="Times New Roman" w:hAnsi="Times New Roman" w:cs="Times New Roman"/>
                <w:color w:val="222222"/>
                <w:sz w:val="20"/>
                <w:szCs w:val="20"/>
                <w:vertAlign w:val="superscript"/>
              </w:rPr>
              <w:t>th</w:t>
            </w:r>
            <w:r w:rsidRPr="00C11ECC">
              <w:rPr>
                <w:rFonts w:ascii="Times New Roman" w:hAnsi="Times New Roman" w:cs="Times New Roman"/>
                <w:color w:val="222222"/>
                <w:sz w:val="20"/>
                <w:szCs w:val="20"/>
              </w:rPr>
              <w:t xml:space="preserve"> semester colloquiums and control work are passed. If student doesn’t have pharmacology credit of 4</w:t>
            </w:r>
            <w:r w:rsidRPr="00C11ECC">
              <w:rPr>
                <w:rFonts w:ascii="Times New Roman" w:hAnsi="Times New Roman" w:cs="Times New Roman"/>
                <w:color w:val="222222"/>
                <w:sz w:val="20"/>
                <w:szCs w:val="20"/>
                <w:vertAlign w:val="superscript"/>
              </w:rPr>
              <w:t>th</w:t>
            </w:r>
            <w:r w:rsidRPr="00C11ECC">
              <w:rPr>
                <w:rFonts w:ascii="Times New Roman" w:hAnsi="Times New Roman" w:cs="Times New Roman"/>
                <w:color w:val="222222"/>
                <w:sz w:val="20"/>
                <w:szCs w:val="20"/>
              </w:rPr>
              <w:t xml:space="preserve"> semester he/she is not eligible to continue pharmacology studies in 5</w:t>
            </w:r>
            <w:r w:rsidRPr="00C11ECC">
              <w:rPr>
                <w:rFonts w:ascii="Times New Roman" w:hAnsi="Times New Roman" w:cs="Times New Roman"/>
                <w:color w:val="222222"/>
                <w:sz w:val="20"/>
                <w:szCs w:val="20"/>
                <w:vertAlign w:val="superscript"/>
              </w:rPr>
              <w:t>th</w:t>
            </w:r>
            <w:r w:rsidRPr="00C11ECC">
              <w:rPr>
                <w:rFonts w:ascii="Times New Roman" w:hAnsi="Times New Roman" w:cs="Times New Roman"/>
                <w:color w:val="222222"/>
                <w:sz w:val="20"/>
                <w:szCs w:val="20"/>
              </w:rPr>
              <w:t xml:space="preserve"> semester.</w:t>
            </w:r>
          </w:p>
        </w:tc>
      </w:tr>
    </w:tbl>
    <w:p w14:paraId="47B580FD" w14:textId="77777777" w:rsidR="00E85350" w:rsidRPr="005C6DA5" w:rsidRDefault="00E85350" w:rsidP="00BB618F">
      <w:pPr>
        <w:spacing w:before="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36"/>
        <w:gridCol w:w="710"/>
        <w:gridCol w:w="2758"/>
        <w:gridCol w:w="1068"/>
        <w:gridCol w:w="2571"/>
      </w:tblGrid>
      <w:tr w:rsidR="00E85350" w:rsidRPr="005C6DA5" w14:paraId="04FB74C6" w14:textId="77777777" w:rsidTr="000120DC">
        <w:tc>
          <w:tcPr>
            <w:tcW w:w="1315" w:type="pct"/>
            <w:tcBorders>
              <w:top w:val="single" w:sz="12" w:space="0" w:color="auto"/>
            </w:tcBorders>
            <w:shd w:val="clear" w:color="auto" w:fill="E6E6E6"/>
          </w:tcPr>
          <w:p w14:paraId="19223F42" w14:textId="77777777" w:rsidR="00E85350" w:rsidRPr="005C6DA5" w:rsidRDefault="00E85350" w:rsidP="00BB618F">
            <w:pPr>
              <w:spacing w:before="0"/>
              <w:jc w:val="both"/>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Author</w:t>
            </w:r>
          </w:p>
        </w:tc>
        <w:tc>
          <w:tcPr>
            <w:tcW w:w="368" w:type="pct"/>
            <w:tcBorders>
              <w:top w:val="single" w:sz="12" w:space="0" w:color="auto"/>
            </w:tcBorders>
            <w:shd w:val="clear" w:color="auto" w:fill="E6E6E6"/>
          </w:tcPr>
          <w:p w14:paraId="51E1762E" w14:textId="77777777" w:rsidR="00E85350" w:rsidRPr="005C6DA5" w:rsidRDefault="00E85350" w:rsidP="00BB618F">
            <w:pPr>
              <w:spacing w:before="0"/>
              <w:jc w:val="both"/>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Year of publication</w:t>
            </w:r>
          </w:p>
        </w:tc>
        <w:tc>
          <w:tcPr>
            <w:tcW w:w="1430" w:type="pct"/>
            <w:tcBorders>
              <w:top w:val="single" w:sz="12" w:space="0" w:color="auto"/>
            </w:tcBorders>
            <w:shd w:val="clear" w:color="auto" w:fill="E6E6E6"/>
          </w:tcPr>
          <w:p w14:paraId="517FAD2F" w14:textId="77777777" w:rsidR="00E85350" w:rsidRPr="005C6DA5" w:rsidRDefault="00E85350" w:rsidP="00BB618F">
            <w:pPr>
              <w:spacing w:before="0"/>
              <w:jc w:val="both"/>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Title</w:t>
            </w:r>
          </w:p>
        </w:tc>
        <w:tc>
          <w:tcPr>
            <w:tcW w:w="554" w:type="pct"/>
            <w:tcBorders>
              <w:top w:val="single" w:sz="12" w:space="0" w:color="auto"/>
            </w:tcBorders>
            <w:shd w:val="clear" w:color="auto" w:fill="E6E6E6"/>
          </w:tcPr>
          <w:p w14:paraId="2A23C230" w14:textId="77777777" w:rsidR="00E85350" w:rsidRPr="005C6DA5" w:rsidRDefault="00E85350" w:rsidP="00D97D37">
            <w:pPr>
              <w:spacing w:before="0"/>
              <w:outlineLvl w:val="3"/>
              <w:rPr>
                <w:rFonts w:ascii="Times New Roman" w:hAnsi="Times New Roman" w:cs="Times New Roman"/>
                <w:b/>
                <w:bCs/>
                <w:sz w:val="20"/>
                <w:szCs w:val="20"/>
              </w:rPr>
            </w:pPr>
            <w:r w:rsidRPr="005C6DA5">
              <w:rPr>
                <w:rFonts w:ascii="Times New Roman" w:hAnsi="Times New Roman" w:cs="Times New Roman"/>
                <w:b/>
                <w:bCs/>
                <w:sz w:val="20"/>
                <w:szCs w:val="20"/>
              </w:rPr>
              <w:t>No of periodical</w:t>
            </w:r>
          </w:p>
          <w:p w14:paraId="38DD644F" w14:textId="77777777" w:rsidR="00E85350" w:rsidRPr="005C6DA5" w:rsidRDefault="00E85350" w:rsidP="00D97D37">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sz w:val="20"/>
                <w:szCs w:val="20"/>
              </w:rPr>
              <w:t>or vol. of publication</w:t>
            </w:r>
          </w:p>
        </w:tc>
        <w:tc>
          <w:tcPr>
            <w:tcW w:w="1333" w:type="pct"/>
            <w:tcBorders>
              <w:top w:val="single" w:sz="12" w:space="0" w:color="auto"/>
            </w:tcBorders>
            <w:shd w:val="clear" w:color="auto" w:fill="E6E6E6"/>
          </w:tcPr>
          <w:p w14:paraId="205DFF5F" w14:textId="77777777" w:rsidR="00E85350" w:rsidRPr="005C6DA5" w:rsidRDefault="00E85350" w:rsidP="00BB618F">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 xml:space="preserve">Publication place and publisher </w:t>
            </w:r>
          </w:p>
          <w:p w14:paraId="511A9CBA" w14:textId="77777777" w:rsidR="00E85350" w:rsidRPr="005C6DA5" w:rsidRDefault="00E85350" w:rsidP="00BB618F">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or Internet link</w:t>
            </w:r>
          </w:p>
        </w:tc>
      </w:tr>
      <w:tr w:rsidR="00E85350" w:rsidRPr="005C6DA5" w14:paraId="5DCF7CE6" w14:textId="77777777">
        <w:tc>
          <w:tcPr>
            <w:tcW w:w="5000" w:type="pct"/>
            <w:gridSpan w:val="5"/>
            <w:shd w:val="clear" w:color="auto" w:fill="D9D9D9"/>
          </w:tcPr>
          <w:p w14:paraId="3DBB844E" w14:textId="77777777" w:rsidR="00E85350" w:rsidRPr="005C6DA5" w:rsidRDefault="00E85350" w:rsidP="00BB618F">
            <w:pPr>
              <w:spacing w:before="0"/>
              <w:outlineLvl w:val="3"/>
              <w:rPr>
                <w:rFonts w:ascii="Times New Roman" w:hAnsi="Times New Roman" w:cs="Times New Roman"/>
                <w:color w:val="000000"/>
                <w:sz w:val="20"/>
                <w:szCs w:val="20"/>
              </w:rPr>
            </w:pPr>
            <w:r w:rsidRPr="005C6DA5">
              <w:rPr>
                <w:rFonts w:ascii="Times New Roman" w:hAnsi="Times New Roman" w:cs="Times New Roman"/>
                <w:b/>
                <w:bCs/>
                <w:color w:val="000000"/>
                <w:sz w:val="20"/>
                <w:szCs w:val="20"/>
              </w:rPr>
              <w:t>Required reading</w:t>
            </w:r>
          </w:p>
        </w:tc>
      </w:tr>
      <w:tr w:rsidR="00E85350" w:rsidRPr="005C6DA5" w14:paraId="289B2804" w14:textId="77777777" w:rsidTr="000120DC">
        <w:tc>
          <w:tcPr>
            <w:tcW w:w="1315" w:type="pct"/>
          </w:tcPr>
          <w:p w14:paraId="7BF77837"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Rang H.P. et al.</w:t>
            </w:r>
          </w:p>
        </w:tc>
        <w:tc>
          <w:tcPr>
            <w:tcW w:w="368" w:type="pct"/>
          </w:tcPr>
          <w:p w14:paraId="6A658ABE" w14:textId="77777777" w:rsidR="00862D80" w:rsidRDefault="00862D80" w:rsidP="00540D31">
            <w:pPr>
              <w:spacing w:before="0"/>
              <w:outlineLvl w:val="3"/>
              <w:rPr>
                <w:rFonts w:ascii="Times New Roman" w:hAnsi="Times New Roman" w:cs="Times New Roman"/>
                <w:color w:val="000000"/>
                <w:sz w:val="20"/>
                <w:szCs w:val="20"/>
              </w:rPr>
            </w:pPr>
            <w:r>
              <w:rPr>
                <w:rFonts w:ascii="Times New Roman" w:hAnsi="Times New Roman" w:cs="Times New Roman"/>
                <w:color w:val="000000"/>
                <w:sz w:val="20"/>
                <w:szCs w:val="20"/>
              </w:rPr>
              <w:t>2019</w:t>
            </w:r>
          </w:p>
          <w:p w14:paraId="5FCBCF10" w14:textId="06684D2E" w:rsidR="00E85350" w:rsidRPr="005C6DA5" w:rsidRDefault="00E85350"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color w:val="000000"/>
                <w:sz w:val="20"/>
                <w:szCs w:val="20"/>
              </w:rPr>
              <w:t>201</w:t>
            </w:r>
            <w:r w:rsidR="00DE4C28" w:rsidRPr="005C6DA5">
              <w:rPr>
                <w:rFonts w:ascii="Times New Roman" w:hAnsi="Times New Roman" w:cs="Times New Roman"/>
                <w:color w:val="000000"/>
                <w:sz w:val="20"/>
                <w:szCs w:val="20"/>
              </w:rPr>
              <w:t>5</w:t>
            </w:r>
          </w:p>
        </w:tc>
        <w:tc>
          <w:tcPr>
            <w:tcW w:w="1430" w:type="pct"/>
          </w:tcPr>
          <w:p w14:paraId="28D38709" w14:textId="77777777" w:rsidR="00E85350" w:rsidRPr="005C6DA5" w:rsidRDefault="00E85350" w:rsidP="00540D31">
            <w:pPr>
              <w:spacing w:before="0"/>
              <w:outlineLvl w:val="3"/>
              <w:rPr>
                <w:rFonts w:ascii="Times New Roman" w:hAnsi="Times New Roman" w:cs="Times New Roman"/>
                <w:sz w:val="20"/>
                <w:szCs w:val="20"/>
              </w:rPr>
            </w:pPr>
            <w:r w:rsidRPr="005C6DA5">
              <w:rPr>
                <w:rFonts w:ascii="Times New Roman" w:hAnsi="Times New Roman" w:cs="Times New Roman"/>
                <w:sz w:val="20"/>
                <w:szCs w:val="20"/>
              </w:rPr>
              <w:t>Pharmacology</w:t>
            </w:r>
          </w:p>
        </w:tc>
        <w:tc>
          <w:tcPr>
            <w:tcW w:w="554" w:type="pct"/>
          </w:tcPr>
          <w:p w14:paraId="5FF59760" w14:textId="77777777" w:rsidR="000469F4" w:rsidRDefault="000469F4" w:rsidP="000469F4">
            <w:pPr>
              <w:spacing w:before="0"/>
              <w:outlineLvl w:val="3"/>
              <w:rPr>
                <w:rFonts w:ascii="Times New Roman" w:hAnsi="Times New Roman"/>
                <w:color w:val="000000"/>
                <w:sz w:val="20"/>
                <w:szCs w:val="20"/>
              </w:rPr>
            </w:pPr>
            <w:r>
              <w:rPr>
                <w:rFonts w:ascii="Times New Roman" w:hAnsi="Times New Roman"/>
                <w:color w:val="000000"/>
                <w:sz w:val="20"/>
                <w:szCs w:val="20"/>
              </w:rPr>
              <w:t>9</w:t>
            </w:r>
            <w:r w:rsidRPr="00AB484A">
              <w:rPr>
                <w:rFonts w:ascii="Times New Roman" w:hAnsi="Times New Roman"/>
                <w:color w:val="000000"/>
                <w:sz w:val="20"/>
                <w:szCs w:val="20"/>
              </w:rPr>
              <w:t xml:space="preserve"> ed.</w:t>
            </w:r>
          </w:p>
          <w:p w14:paraId="55F01F2A" w14:textId="6BBD1DDB" w:rsidR="00E85350" w:rsidRPr="005C6DA5" w:rsidRDefault="000469F4" w:rsidP="000469F4">
            <w:pPr>
              <w:spacing w:before="0"/>
              <w:outlineLvl w:val="3"/>
              <w:rPr>
                <w:rFonts w:ascii="Times New Roman" w:hAnsi="Times New Roman" w:cs="Times New Roman"/>
                <w:color w:val="000000"/>
                <w:sz w:val="20"/>
                <w:szCs w:val="20"/>
              </w:rPr>
            </w:pPr>
            <w:r>
              <w:rPr>
                <w:rFonts w:ascii="Times New Roman" w:hAnsi="Times New Roman"/>
                <w:color w:val="000000"/>
                <w:sz w:val="20"/>
                <w:szCs w:val="20"/>
              </w:rPr>
              <w:t>8 ed.</w:t>
            </w:r>
          </w:p>
        </w:tc>
        <w:tc>
          <w:tcPr>
            <w:tcW w:w="1333" w:type="pct"/>
          </w:tcPr>
          <w:p w14:paraId="2D078ADD" w14:textId="77777777" w:rsidR="005C0E78" w:rsidRDefault="005C0E78" w:rsidP="005C0E78">
            <w:pPr>
              <w:spacing w:before="0"/>
              <w:outlineLvl w:val="3"/>
              <w:rPr>
                <w:rFonts w:ascii="Times New Roman" w:hAnsi="Times New Roman"/>
                <w:sz w:val="20"/>
                <w:szCs w:val="20"/>
                <w:lang w:val="en"/>
              </w:rPr>
            </w:pPr>
            <w:r w:rsidRPr="004F6106">
              <w:rPr>
                <w:rFonts w:ascii="Times New Roman" w:hAnsi="Times New Roman"/>
                <w:sz w:val="20"/>
                <w:szCs w:val="20"/>
                <w:lang w:val="en"/>
              </w:rPr>
              <w:t>Elsevier</w:t>
            </w:r>
          </w:p>
          <w:p w14:paraId="77E85F41" w14:textId="15670EF6" w:rsidR="00E85350" w:rsidRPr="005C6DA5" w:rsidRDefault="005C0E78" w:rsidP="005C0E78">
            <w:pPr>
              <w:spacing w:before="0"/>
              <w:outlineLvl w:val="3"/>
              <w:rPr>
                <w:rFonts w:ascii="Times New Roman" w:hAnsi="Times New Roman" w:cs="Times New Roman"/>
                <w:color w:val="000000"/>
                <w:sz w:val="20"/>
                <w:szCs w:val="20"/>
              </w:rPr>
            </w:pPr>
            <w:r>
              <w:rPr>
                <w:rFonts w:ascii="Times New Roman" w:hAnsi="Times New Roman"/>
                <w:bCs/>
                <w:color w:val="000000"/>
                <w:sz w:val="20"/>
                <w:szCs w:val="20"/>
              </w:rPr>
              <w:t>Churchill Livingstone</w:t>
            </w:r>
          </w:p>
        </w:tc>
      </w:tr>
      <w:tr w:rsidR="00E85350" w:rsidRPr="005C6DA5" w14:paraId="5C66B987" w14:textId="77777777" w:rsidTr="000120DC">
        <w:tc>
          <w:tcPr>
            <w:tcW w:w="1315" w:type="pct"/>
          </w:tcPr>
          <w:p w14:paraId="635AEE67"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proofErr w:type="spellStart"/>
            <w:r w:rsidRPr="005C6DA5">
              <w:rPr>
                <w:rFonts w:ascii="Times New Roman" w:hAnsi="Times New Roman" w:cs="Times New Roman"/>
                <w:sz w:val="20"/>
                <w:szCs w:val="20"/>
              </w:rPr>
              <w:t>Katzung</w:t>
            </w:r>
            <w:proofErr w:type="spellEnd"/>
            <w:r w:rsidRPr="005C6DA5">
              <w:rPr>
                <w:rFonts w:ascii="Times New Roman" w:hAnsi="Times New Roman" w:cs="Times New Roman"/>
                <w:sz w:val="20"/>
                <w:szCs w:val="20"/>
              </w:rPr>
              <w:t xml:space="preserve"> B.G. </w:t>
            </w:r>
          </w:p>
        </w:tc>
        <w:tc>
          <w:tcPr>
            <w:tcW w:w="368" w:type="pct"/>
          </w:tcPr>
          <w:p w14:paraId="3278D42A"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201</w:t>
            </w:r>
            <w:r w:rsidR="00DE4C28" w:rsidRPr="005C6DA5">
              <w:rPr>
                <w:rFonts w:ascii="Times New Roman" w:hAnsi="Times New Roman" w:cs="Times New Roman"/>
                <w:sz w:val="20"/>
                <w:szCs w:val="20"/>
              </w:rPr>
              <w:t>8</w:t>
            </w:r>
          </w:p>
        </w:tc>
        <w:tc>
          <w:tcPr>
            <w:tcW w:w="1430" w:type="pct"/>
          </w:tcPr>
          <w:p w14:paraId="60701491"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Basic and clinical pharmacology.</w:t>
            </w:r>
          </w:p>
        </w:tc>
        <w:tc>
          <w:tcPr>
            <w:tcW w:w="554" w:type="pct"/>
          </w:tcPr>
          <w:p w14:paraId="46D1D930"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1</w:t>
            </w:r>
            <w:r w:rsidR="00DE4C28" w:rsidRPr="005C6DA5">
              <w:rPr>
                <w:rFonts w:ascii="Times New Roman" w:hAnsi="Times New Roman" w:cs="Times New Roman"/>
                <w:sz w:val="20"/>
                <w:szCs w:val="20"/>
              </w:rPr>
              <w:t>4</w:t>
            </w:r>
            <w:r w:rsidRPr="005C6DA5">
              <w:rPr>
                <w:rFonts w:ascii="Times New Roman" w:hAnsi="Times New Roman" w:cs="Times New Roman"/>
                <w:sz w:val="20"/>
                <w:szCs w:val="20"/>
              </w:rPr>
              <w:t xml:space="preserve"> ed.</w:t>
            </w:r>
          </w:p>
        </w:tc>
        <w:tc>
          <w:tcPr>
            <w:tcW w:w="1333" w:type="pct"/>
          </w:tcPr>
          <w:p w14:paraId="7B85F075"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McGraw Hill</w:t>
            </w:r>
          </w:p>
        </w:tc>
      </w:tr>
      <w:tr w:rsidR="00DE4C28" w:rsidRPr="005C6DA5" w14:paraId="3B4089D7" w14:textId="77777777" w:rsidTr="000120DC">
        <w:tc>
          <w:tcPr>
            <w:tcW w:w="1315" w:type="pct"/>
          </w:tcPr>
          <w:p w14:paraId="6BE86827" w14:textId="41583DF5" w:rsidR="00DE4C28"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Richard A.</w:t>
            </w:r>
            <w:r w:rsidR="000C7FC3">
              <w:rPr>
                <w:rFonts w:ascii="Times New Roman" w:hAnsi="Times New Roman" w:cs="Times New Roman"/>
                <w:sz w:val="20"/>
                <w:szCs w:val="20"/>
              </w:rPr>
              <w:t>,</w:t>
            </w:r>
            <w:r w:rsidR="000C7FC3">
              <w:rPr>
                <w:rFonts w:ascii="Times New Roman" w:hAnsi="Times New Roman"/>
                <w:sz w:val="20"/>
                <w:szCs w:val="20"/>
              </w:rPr>
              <w:t xml:space="preserve"> Harvey</w:t>
            </w:r>
            <w:r w:rsidR="000C7FC3">
              <w:rPr>
                <w:rFonts w:ascii="Times New Roman" w:hAnsi="Times New Roman"/>
                <w:sz w:val="20"/>
                <w:szCs w:val="20"/>
                <w:lang w:val="de-DE"/>
              </w:rPr>
              <w:t xml:space="preserve"> Karen Whalen Pharm D</w:t>
            </w:r>
          </w:p>
        </w:tc>
        <w:tc>
          <w:tcPr>
            <w:tcW w:w="368" w:type="pct"/>
          </w:tcPr>
          <w:p w14:paraId="3F1D843F" w14:textId="77777777" w:rsidR="00676793" w:rsidRDefault="00676793" w:rsidP="00540D31">
            <w:pPr>
              <w:pStyle w:val="Footer"/>
              <w:tabs>
                <w:tab w:val="clear" w:pos="4819"/>
                <w:tab w:val="clear" w:pos="9638"/>
              </w:tabs>
              <w:spacing w:before="0"/>
              <w:rPr>
                <w:rFonts w:ascii="Times New Roman" w:hAnsi="Times New Roman" w:cs="Times New Roman"/>
                <w:sz w:val="20"/>
                <w:szCs w:val="20"/>
              </w:rPr>
            </w:pPr>
            <w:r>
              <w:rPr>
                <w:rFonts w:ascii="Times New Roman" w:hAnsi="Times New Roman" w:cs="Times New Roman"/>
                <w:sz w:val="20"/>
                <w:szCs w:val="20"/>
              </w:rPr>
              <w:t>2018</w:t>
            </w:r>
          </w:p>
          <w:p w14:paraId="4DF08086" w14:textId="2EB18684" w:rsidR="00D0624D"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201</w:t>
            </w:r>
            <w:r w:rsidR="00D0624D">
              <w:rPr>
                <w:rFonts w:ascii="Times New Roman" w:hAnsi="Times New Roman" w:cs="Times New Roman"/>
                <w:sz w:val="20"/>
                <w:szCs w:val="20"/>
              </w:rPr>
              <w:t>4</w:t>
            </w:r>
          </w:p>
        </w:tc>
        <w:tc>
          <w:tcPr>
            <w:tcW w:w="1430" w:type="pct"/>
          </w:tcPr>
          <w:p w14:paraId="1E7F854D" w14:textId="77777777" w:rsidR="00DE4C28" w:rsidRPr="005C6DA5" w:rsidRDefault="00DE4C28" w:rsidP="00540D31">
            <w:pPr>
              <w:spacing w:before="0"/>
              <w:outlineLvl w:val="3"/>
              <w:rPr>
                <w:rFonts w:ascii="Times New Roman" w:hAnsi="Times New Roman" w:cs="Times New Roman"/>
                <w:sz w:val="20"/>
                <w:szCs w:val="20"/>
              </w:rPr>
            </w:pPr>
            <w:r w:rsidRPr="005C6DA5">
              <w:rPr>
                <w:rFonts w:ascii="Times New Roman" w:hAnsi="Times New Roman" w:cs="Times New Roman"/>
                <w:sz w:val="20"/>
                <w:szCs w:val="20"/>
              </w:rPr>
              <w:t>Pharmacology</w:t>
            </w:r>
          </w:p>
        </w:tc>
        <w:tc>
          <w:tcPr>
            <w:tcW w:w="554" w:type="pct"/>
          </w:tcPr>
          <w:p w14:paraId="47F196F0" w14:textId="77777777" w:rsidR="00676793" w:rsidRDefault="00676793" w:rsidP="00540D31">
            <w:pPr>
              <w:pStyle w:val="Footer"/>
              <w:tabs>
                <w:tab w:val="clear" w:pos="4819"/>
                <w:tab w:val="clear" w:pos="9638"/>
              </w:tabs>
              <w:spacing w:before="0"/>
              <w:rPr>
                <w:rFonts w:ascii="Times New Roman" w:hAnsi="Times New Roman" w:cs="Times New Roman"/>
                <w:sz w:val="20"/>
                <w:szCs w:val="20"/>
              </w:rPr>
            </w:pPr>
            <w:r>
              <w:rPr>
                <w:rFonts w:ascii="Times New Roman" w:hAnsi="Times New Roman" w:cs="Times New Roman"/>
                <w:sz w:val="20"/>
                <w:szCs w:val="20"/>
              </w:rPr>
              <w:t>7 ed.</w:t>
            </w:r>
          </w:p>
          <w:p w14:paraId="1D298EAD" w14:textId="022E5EA5" w:rsidR="00DE4C28"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6 ed.</w:t>
            </w:r>
          </w:p>
        </w:tc>
        <w:tc>
          <w:tcPr>
            <w:tcW w:w="1333" w:type="pct"/>
          </w:tcPr>
          <w:p w14:paraId="5E53430F" w14:textId="77777777" w:rsidR="00DE4C28" w:rsidRPr="005C6DA5" w:rsidRDefault="00DE4C28" w:rsidP="00540D31">
            <w:pPr>
              <w:pStyle w:val="Footer"/>
              <w:tabs>
                <w:tab w:val="clear" w:pos="4819"/>
                <w:tab w:val="clear" w:pos="9638"/>
              </w:tabs>
              <w:spacing w:before="0"/>
              <w:rPr>
                <w:rFonts w:ascii="Times New Roman" w:hAnsi="Times New Roman" w:cs="Times New Roman"/>
                <w:sz w:val="20"/>
                <w:szCs w:val="20"/>
              </w:rPr>
            </w:pPr>
            <w:proofErr w:type="spellStart"/>
            <w:r w:rsidRPr="005C6DA5">
              <w:rPr>
                <w:rFonts w:ascii="Times New Roman" w:hAnsi="Times New Roman" w:cs="Times New Roman"/>
                <w:sz w:val="20"/>
                <w:szCs w:val="20"/>
              </w:rPr>
              <w:t>Lippincot</w:t>
            </w:r>
            <w:proofErr w:type="spellEnd"/>
            <w:r w:rsidRPr="005C6DA5">
              <w:rPr>
                <w:rFonts w:ascii="Times New Roman" w:hAnsi="Times New Roman" w:cs="Times New Roman"/>
                <w:sz w:val="20"/>
                <w:szCs w:val="20"/>
              </w:rPr>
              <w:t xml:space="preserve"> Illustrated Reviews</w:t>
            </w:r>
          </w:p>
        </w:tc>
      </w:tr>
      <w:tr w:rsidR="00DE4C28" w:rsidRPr="005C6DA5" w14:paraId="0B5465B2" w14:textId="77777777">
        <w:tc>
          <w:tcPr>
            <w:tcW w:w="5000" w:type="pct"/>
            <w:gridSpan w:val="5"/>
            <w:shd w:val="clear" w:color="auto" w:fill="D9D9D9"/>
          </w:tcPr>
          <w:p w14:paraId="35F4CC75" w14:textId="77777777" w:rsidR="00DE4C28" w:rsidRPr="005C6DA5" w:rsidRDefault="00DE4C28" w:rsidP="00540D31">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Recommended reading</w:t>
            </w:r>
          </w:p>
        </w:tc>
      </w:tr>
      <w:tr w:rsidR="00DE4C28" w:rsidRPr="005C6DA5" w14:paraId="03C7EC07" w14:textId="77777777" w:rsidTr="000120DC">
        <w:tc>
          <w:tcPr>
            <w:tcW w:w="1315" w:type="pct"/>
          </w:tcPr>
          <w:p w14:paraId="3FCE1230" w14:textId="01B3A470" w:rsidR="00DE4C28" w:rsidRPr="005C6DA5" w:rsidRDefault="00DE4C28" w:rsidP="00A62168">
            <w:pPr>
              <w:spacing w:before="0"/>
              <w:rPr>
                <w:rFonts w:ascii="Times New Roman" w:hAnsi="Times New Roman" w:cs="Times New Roman"/>
                <w:sz w:val="20"/>
                <w:szCs w:val="20"/>
              </w:rPr>
            </w:pPr>
            <w:r w:rsidRPr="005C6DA5">
              <w:rPr>
                <w:rFonts w:ascii="Times New Roman" w:hAnsi="Times New Roman" w:cs="Times New Roman"/>
                <w:sz w:val="20"/>
                <w:szCs w:val="20"/>
              </w:rPr>
              <w:t>Laurence L.</w:t>
            </w:r>
            <w:r w:rsidR="00614735">
              <w:rPr>
                <w:rFonts w:ascii="Times New Roman" w:hAnsi="Times New Roman" w:cs="Times New Roman"/>
                <w:sz w:val="20"/>
                <w:szCs w:val="20"/>
              </w:rPr>
              <w:t>,</w:t>
            </w:r>
            <w:r w:rsidR="00FD745B">
              <w:rPr>
                <w:rFonts w:ascii="Times New Roman" w:hAnsi="Times New Roman"/>
                <w:sz w:val="20"/>
                <w:szCs w:val="20"/>
              </w:rPr>
              <w:t xml:space="preserve"> </w:t>
            </w:r>
            <w:proofErr w:type="spellStart"/>
            <w:r w:rsidR="00FD745B">
              <w:rPr>
                <w:rFonts w:ascii="Times New Roman" w:hAnsi="Times New Roman"/>
                <w:sz w:val="20"/>
                <w:szCs w:val="20"/>
              </w:rPr>
              <w:t>Brunton</w:t>
            </w:r>
            <w:proofErr w:type="spellEnd"/>
            <w:r w:rsidR="00FD745B">
              <w:rPr>
                <w:rFonts w:ascii="Times New Roman" w:hAnsi="Times New Roman"/>
                <w:sz w:val="20"/>
                <w:szCs w:val="20"/>
              </w:rPr>
              <w:t xml:space="preserve">, Bruce A. </w:t>
            </w:r>
            <w:proofErr w:type="spellStart"/>
            <w:r w:rsidR="00FD745B">
              <w:rPr>
                <w:rFonts w:ascii="Times New Roman" w:hAnsi="Times New Roman"/>
                <w:sz w:val="20"/>
                <w:szCs w:val="20"/>
              </w:rPr>
              <w:t>Chabner</w:t>
            </w:r>
            <w:proofErr w:type="spellEnd"/>
            <w:r w:rsidR="00FD745B">
              <w:rPr>
                <w:rFonts w:ascii="Times New Roman" w:hAnsi="Times New Roman"/>
                <w:sz w:val="20"/>
                <w:szCs w:val="20"/>
              </w:rPr>
              <w:t xml:space="preserve">, </w:t>
            </w:r>
            <w:proofErr w:type="spellStart"/>
            <w:r w:rsidR="00FD745B">
              <w:rPr>
                <w:rFonts w:ascii="Times New Roman" w:hAnsi="Times New Roman"/>
                <w:sz w:val="20"/>
                <w:szCs w:val="20"/>
              </w:rPr>
              <w:t>Björn</w:t>
            </w:r>
            <w:proofErr w:type="spellEnd"/>
            <w:r w:rsidR="00FD745B">
              <w:rPr>
                <w:rFonts w:ascii="Times New Roman" w:hAnsi="Times New Roman"/>
                <w:sz w:val="20"/>
                <w:szCs w:val="20"/>
              </w:rPr>
              <w:t xml:space="preserve"> C. Knollmann</w:t>
            </w:r>
          </w:p>
        </w:tc>
        <w:tc>
          <w:tcPr>
            <w:tcW w:w="368" w:type="pct"/>
          </w:tcPr>
          <w:p w14:paraId="5F9CA1F0"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color w:val="000000"/>
                <w:sz w:val="20"/>
                <w:szCs w:val="20"/>
              </w:rPr>
              <w:t>2018</w:t>
            </w:r>
          </w:p>
        </w:tc>
        <w:tc>
          <w:tcPr>
            <w:tcW w:w="1430" w:type="pct"/>
          </w:tcPr>
          <w:p w14:paraId="16FD609D"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sz w:val="20"/>
                <w:szCs w:val="20"/>
              </w:rPr>
              <w:t>Goodman &amp; Gilman’s The Pharmacological basis of therapeutics</w:t>
            </w:r>
          </w:p>
        </w:tc>
        <w:tc>
          <w:tcPr>
            <w:tcW w:w="554" w:type="pct"/>
          </w:tcPr>
          <w:p w14:paraId="11701425"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color w:val="000000"/>
                <w:sz w:val="20"/>
                <w:szCs w:val="20"/>
              </w:rPr>
              <w:t>13 ed.</w:t>
            </w:r>
          </w:p>
        </w:tc>
        <w:tc>
          <w:tcPr>
            <w:tcW w:w="1333" w:type="pct"/>
          </w:tcPr>
          <w:p w14:paraId="13C19042"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sz w:val="20"/>
                <w:szCs w:val="20"/>
              </w:rPr>
              <w:t>McGraw-Hill</w:t>
            </w:r>
          </w:p>
        </w:tc>
      </w:tr>
      <w:tr w:rsidR="009F1535" w:rsidRPr="00AB484A" w14:paraId="0A7F2A3C" w14:textId="77777777" w:rsidTr="009F1535">
        <w:tc>
          <w:tcPr>
            <w:tcW w:w="5000" w:type="pct"/>
            <w:gridSpan w:val="5"/>
            <w:tcBorders>
              <w:bottom w:val="single" w:sz="12" w:space="0" w:color="auto"/>
            </w:tcBorders>
          </w:tcPr>
          <w:p w14:paraId="0445F3FC" w14:textId="77777777" w:rsidR="00EC6AF2" w:rsidRDefault="00163279" w:rsidP="00EC6AF2">
            <w:pPr>
              <w:spacing w:before="0"/>
              <w:outlineLvl w:val="3"/>
              <w:rPr>
                <w:rFonts w:ascii="Times New Roman" w:hAnsi="Times New Roman" w:cs="Times New Roman"/>
                <w:sz w:val="20"/>
                <w:szCs w:val="20"/>
              </w:rPr>
            </w:pPr>
            <w:r w:rsidRPr="00686C43">
              <w:rPr>
                <w:rFonts w:ascii="Times New Roman" w:hAnsi="Times New Roman" w:cs="Times New Roman"/>
                <w:b/>
                <w:bCs/>
                <w:sz w:val="20"/>
                <w:szCs w:val="20"/>
              </w:rPr>
              <w:t>Vilnius University Library Electronic resources</w:t>
            </w:r>
            <w:r w:rsidR="00116809" w:rsidRPr="00686C43">
              <w:rPr>
                <w:rFonts w:ascii="Times New Roman" w:hAnsi="Times New Roman" w:cs="Times New Roman"/>
                <w:b/>
                <w:bCs/>
                <w:sz w:val="20"/>
                <w:szCs w:val="20"/>
              </w:rPr>
              <w:t xml:space="preserve"> </w:t>
            </w:r>
            <w:r w:rsidR="00686C43" w:rsidRPr="00686C43">
              <w:rPr>
                <w:rFonts w:ascii="Times New Roman" w:hAnsi="Times New Roman" w:cs="Times New Roman"/>
                <w:b/>
                <w:bCs/>
                <w:sz w:val="20"/>
                <w:szCs w:val="20"/>
              </w:rPr>
              <w:t>–</w:t>
            </w:r>
            <w:r w:rsidR="00116809" w:rsidRPr="00686C43">
              <w:rPr>
                <w:rFonts w:ascii="Times New Roman" w:hAnsi="Times New Roman" w:cs="Times New Roman"/>
                <w:b/>
                <w:bCs/>
                <w:sz w:val="20"/>
                <w:szCs w:val="20"/>
              </w:rPr>
              <w:t xml:space="preserve"> </w:t>
            </w:r>
            <w:r w:rsidR="00686C43" w:rsidRPr="00686C43">
              <w:rPr>
                <w:rFonts w:ascii="Times New Roman" w:hAnsi="Times New Roman" w:cs="Times New Roman"/>
                <w:b/>
                <w:bCs/>
                <w:sz w:val="20"/>
                <w:szCs w:val="20"/>
              </w:rPr>
              <w:t>subscribed databases</w:t>
            </w:r>
            <w:r w:rsidRPr="00686C43">
              <w:rPr>
                <w:rFonts w:ascii="Times New Roman" w:hAnsi="Times New Roman"/>
                <w:b/>
                <w:bCs/>
                <w:sz w:val="20"/>
                <w:szCs w:val="20"/>
              </w:rPr>
              <w:t xml:space="preserve">: </w:t>
            </w:r>
            <w:proofErr w:type="spellStart"/>
            <w:r w:rsidR="009F1535" w:rsidRPr="00C14190">
              <w:rPr>
                <w:rFonts w:ascii="Times New Roman" w:hAnsi="Times New Roman"/>
                <w:sz w:val="20"/>
                <w:szCs w:val="20"/>
              </w:rPr>
              <w:t>ClinicalKey</w:t>
            </w:r>
            <w:proofErr w:type="spellEnd"/>
            <w:r w:rsidR="009F1535" w:rsidRPr="00C14190">
              <w:rPr>
                <w:rFonts w:ascii="Times New Roman" w:hAnsi="Times New Roman"/>
                <w:sz w:val="20"/>
                <w:szCs w:val="20"/>
              </w:rPr>
              <w:t xml:space="preserve"> Student</w:t>
            </w:r>
            <w:r w:rsidR="00EC6AF2">
              <w:rPr>
                <w:rFonts w:ascii="Times New Roman" w:hAnsi="Times New Roman"/>
                <w:sz w:val="20"/>
                <w:szCs w:val="20"/>
              </w:rPr>
              <w:t xml:space="preserve">, </w:t>
            </w:r>
            <w:r w:rsidR="009F1535" w:rsidRPr="00C14190">
              <w:rPr>
                <w:rFonts w:ascii="Times New Roman" w:hAnsi="Times New Roman"/>
                <w:sz w:val="20"/>
                <w:szCs w:val="20"/>
              </w:rPr>
              <w:t>5MinuteConsult</w:t>
            </w:r>
            <w:r w:rsidR="00EC6AF2">
              <w:rPr>
                <w:rFonts w:ascii="Times New Roman" w:hAnsi="Times New Roman"/>
                <w:sz w:val="20"/>
                <w:szCs w:val="20"/>
              </w:rPr>
              <w:t xml:space="preserve">, </w:t>
            </w:r>
            <w:proofErr w:type="spellStart"/>
            <w:r w:rsidR="009F1535" w:rsidRPr="00C14190">
              <w:rPr>
                <w:rFonts w:ascii="Times New Roman" w:hAnsi="Times New Roman"/>
                <w:sz w:val="20"/>
                <w:szCs w:val="20"/>
              </w:rPr>
              <w:t>AccessMedicine</w:t>
            </w:r>
            <w:proofErr w:type="spellEnd"/>
            <w:r w:rsidR="00EC6AF2">
              <w:rPr>
                <w:rFonts w:ascii="Times New Roman" w:hAnsi="Times New Roman"/>
                <w:sz w:val="20"/>
                <w:szCs w:val="20"/>
              </w:rPr>
              <w:t xml:space="preserve">, </w:t>
            </w:r>
            <w:r w:rsidR="009F1535" w:rsidRPr="00C14190">
              <w:rPr>
                <w:rFonts w:ascii="Times New Roman" w:hAnsi="Times New Roman"/>
                <w:sz w:val="20"/>
                <w:szCs w:val="20"/>
              </w:rPr>
              <w:t>European Pharmacopoeia</w:t>
            </w:r>
            <w:r w:rsidR="00EC6AF2">
              <w:rPr>
                <w:rFonts w:ascii="Times New Roman" w:hAnsi="Times New Roman"/>
                <w:sz w:val="20"/>
                <w:szCs w:val="20"/>
              </w:rPr>
              <w:t xml:space="preserve">, </w:t>
            </w:r>
            <w:proofErr w:type="spellStart"/>
            <w:r w:rsidR="009F1535" w:rsidRPr="00C14190">
              <w:rPr>
                <w:rFonts w:ascii="Times New Roman" w:hAnsi="Times New Roman"/>
                <w:sz w:val="20"/>
                <w:szCs w:val="20"/>
              </w:rPr>
              <w:t>MedicinesComplete</w:t>
            </w:r>
            <w:proofErr w:type="spellEnd"/>
            <w:r w:rsidR="009F1535" w:rsidRPr="005C6DA5">
              <w:rPr>
                <w:rFonts w:ascii="Times New Roman" w:hAnsi="Times New Roman" w:cs="Times New Roman"/>
                <w:sz w:val="20"/>
                <w:szCs w:val="20"/>
              </w:rPr>
              <w:t xml:space="preserve"> </w:t>
            </w:r>
          </w:p>
          <w:p w14:paraId="799CABFE" w14:textId="47D65349" w:rsidR="009F1535" w:rsidRPr="00EC6AF2" w:rsidRDefault="009F1535" w:rsidP="00EC6AF2">
            <w:pPr>
              <w:spacing w:before="0"/>
              <w:outlineLvl w:val="3"/>
              <w:rPr>
                <w:rFonts w:ascii="Times New Roman" w:hAnsi="Times New Roman"/>
                <w:b/>
                <w:bCs/>
                <w:sz w:val="20"/>
                <w:szCs w:val="20"/>
              </w:rPr>
            </w:pPr>
            <w:r w:rsidRPr="00EC6AF2">
              <w:rPr>
                <w:rFonts w:ascii="Times New Roman" w:hAnsi="Times New Roman" w:cs="Times New Roman"/>
                <w:b/>
                <w:bCs/>
                <w:sz w:val="20"/>
                <w:szCs w:val="20"/>
              </w:rPr>
              <w:t>Selected publications relevant for particular topic</w:t>
            </w:r>
            <w:r w:rsidR="00686C43" w:rsidRPr="00EC6AF2">
              <w:rPr>
                <w:rFonts w:ascii="Times New Roman" w:hAnsi="Times New Roman" w:cs="Times New Roman"/>
                <w:b/>
                <w:bCs/>
                <w:sz w:val="20"/>
                <w:szCs w:val="20"/>
              </w:rPr>
              <w:t xml:space="preserve"> </w:t>
            </w:r>
            <w:r w:rsidRPr="00EC6AF2">
              <w:rPr>
                <w:rFonts w:ascii="Times New Roman" w:hAnsi="Times New Roman" w:cs="Times New Roman"/>
                <w:b/>
                <w:bCs/>
                <w:sz w:val="20"/>
                <w:szCs w:val="20"/>
              </w:rPr>
              <w:t>(provided by lecturer)</w:t>
            </w:r>
          </w:p>
        </w:tc>
      </w:tr>
    </w:tbl>
    <w:p w14:paraId="4B83F61F" w14:textId="77777777" w:rsidR="00E85350" w:rsidRPr="00BB618F" w:rsidRDefault="00E85350" w:rsidP="00DE4C28">
      <w:pPr>
        <w:spacing w:before="0"/>
        <w:rPr>
          <w:rFonts w:ascii="Times New Roman" w:hAnsi="Times New Roman" w:cs="Times New Roman"/>
          <w:sz w:val="20"/>
          <w:szCs w:val="20"/>
        </w:rPr>
      </w:pPr>
    </w:p>
    <w:sectPr w:rsidR="00E85350" w:rsidRPr="00BB618F" w:rsidSect="00477546">
      <w:headerReference w:type="default" r:id="rId8"/>
      <w:footerReference w:type="default" r:id="rId9"/>
      <w:pgSz w:w="11906" w:h="16838" w:code="9"/>
      <w:pgMar w:top="1134" w:right="567" w:bottom="1134" w:left="1701" w:header="567" w:footer="567" w:gutter="0"/>
      <w:pgBorders w:offsetFrom="page">
        <w:top w:val="single" w:sz="4" w:space="24" w:color="auto"/>
      </w:pgBorders>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DB13" w14:textId="77777777" w:rsidR="000328A7" w:rsidRDefault="000328A7" w:rsidP="008F00D3">
      <w:pPr>
        <w:spacing w:before="0"/>
      </w:pPr>
      <w:r>
        <w:separator/>
      </w:r>
    </w:p>
  </w:endnote>
  <w:endnote w:type="continuationSeparator" w:id="0">
    <w:p w14:paraId="52D86318" w14:textId="77777777" w:rsidR="000328A7" w:rsidRDefault="000328A7" w:rsidP="008F00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EC6F" w14:textId="707F82F5" w:rsidR="00E85350" w:rsidRPr="00043B4D" w:rsidRDefault="00E85350" w:rsidP="00043B4D">
    <w:pPr>
      <w:pStyle w:val="Footer"/>
      <w:spacing w:before="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1F23">
      <w:rPr>
        <w:rFonts w:ascii="Times New Roman" w:hAnsi="Times New Roman" w:cs="Times New Roman"/>
        <w:noProof/>
        <w:sz w:val="20"/>
        <w:szCs w:val="20"/>
      </w:rPr>
      <w:t>3</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F25B4" w14:textId="77777777" w:rsidR="000328A7" w:rsidRDefault="000328A7" w:rsidP="008F00D3">
      <w:pPr>
        <w:spacing w:before="0"/>
      </w:pPr>
      <w:r>
        <w:separator/>
      </w:r>
    </w:p>
  </w:footnote>
  <w:footnote w:type="continuationSeparator" w:id="0">
    <w:p w14:paraId="70B71177" w14:textId="77777777" w:rsidR="000328A7" w:rsidRDefault="000328A7" w:rsidP="008F00D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8D15" w14:textId="77777777" w:rsidR="00E85350" w:rsidRPr="002C436F" w:rsidRDefault="00E85350" w:rsidP="002C436F">
    <w:pPr>
      <w:pStyle w:val="Header"/>
      <w:spacing w:before="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E20"/>
    <w:multiLevelType w:val="hybridMultilevel"/>
    <w:tmpl w:val="826CD49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724333A"/>
    <w:multiLevelType w:val="hybridMultilevel"/>
    <w:tmpl w:val="0390F68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0A005BE6"/>
    <w:multiLevelType w:val="hybridMultilevel"/>
    <w:tmpl w:val="74C4067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D2A3781"/>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DC3289C"/>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E520610"/>
    <w:multiLevelType w:val="hybridMultilevel"/>
    <w:tmpl w:val="7B1C7B8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A9D39A3"/>
    <w:multiLevelType w:val="hybridMultilevel"/>
    <w:tmpl w:val="D9146022"/>
    <w:lvl w:ilvl="0" w:tplc="FFFFFFFF">
      <w:start w:val="1"/>
      <w:numFmt w:val="decimal"/>
      <w:lvlText w:val="%1."/>
      <w:lvlJc w:val="left"/>
      <w:pPr>
        <w:tabs>
          <w:tab w:val="num" w:pos="1440"/>
        </w:tabs>
        <w:ind w:left="1440" w:hanging="360"/>
      </w:pPr>
      <w:rPr>
        <w:rFonts w:cs="Times New Roman" w:hint="default"/>
        <w:i w:val="0"/>
        <w:iCs w:val="0"/>
        <w:color w:val="auto"/>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EFC61DC"/>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FD74374"/>
    <w:multiLevelType w:val="hybridMultilevel"/>
    <w:tmpl w:val="A1EEA87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218A5DE1"/>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6BE140A"/>
    <w:multiLevelType w:val="multilevel"/>
    <w:tmpl w:val="158AD5A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83A774C"/>
    <w:multiLevelType w:val="hybridMultilevel"/>
    <w:tmpl w:val="83968D9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2ACC1C3C"/>
    <w:multiLevelType w:val="hybridMultilevel"/>
    <w:tmpl w:val="6CB24F9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2B231488"/>
    <w:multiLevelType w:val="hybridMultilevel"/>
    <w:tmpl w:val="F206880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31B76B1A"/>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343469BB"/>
    <w:multiLevelType w:val="hybridMultilevel"/>
    <w:tmpl w:val="DCC8831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3B8807F1"/>
    <w:multiLevelType w:val="hybridMultilevel"/>
    <w:tmpl w:val="B44C67C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41A35AB9"/>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43414FD2"/>
    <w:multiLevelType w:val="hybridMultilevel"/>
    <w:tmpl w:val="230A969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15:restartNumberingAfterBreak="0">
    <w:nsid w:val="4A0979AA"/>
    <w:multiLevelType w:val="multilevel"/>
    <w:tmpl w:val="33A6E5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538D07BB"/>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554C19C5"/>
    <w:multiLevelType w:val="hybridMultilevel"/>
    <w:tmpl w:val="11F2BFE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2" w15:restartNumberingAfterBreak="0">
    <w:nsid w:val="55502B1C"/>
    <w:multiLevelType w:val="hybridMultilevel"/>
    <w:tmpl w:val="C112642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57E36EDC"/>
    <w:multiLevelType w:val="hybridMultilevel"/>
    <w:tmpl w:val="E24885F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15:restartNumberingAfterBreak="0">
    <w:nsid w:val="5C794845"/>
    <w:multiLevelType w:val="multilevel"/>
    <w:tmpl w:val="86B0ACF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5CC71056"/>
    <w:multiLevelType w:val="hybridMultilevel"/>
    <w:tmpl w:val="2A5439A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F1F7F31"/>
    <w:multiLevelType w:val="hybridMultilevel"/>
    <w:tmpl w:val="0FA0DC1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60EF0AE5"/>
    <w:multiLevelType w:val="multilevel"/>
    <w:tmpl w:val="2A5439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4393E14"/>
    <w:multiLevelType w:val="hybridMultilevel"/>
    <w:tmpl w:val="A48647CE"/>
    <w:lvl w:ilvl="0" w:tplc="FFFFFFFF">
      <w:start w:val="1"/>
      <w:numFmt w:val="decimal"/>
      <w:lvlText w:val="%1."/>
      <w:lvlJc w:val="left"/>
      <w:pPr>
        <w:tabs>
          <w:tab w:val="num" w:pos="360"/>
        </w:tabs>
        <w:ind w:left="360" w:hanging="360"/>
      </w:pPr>
      <w:rPr>
        <w:rFonts w:cs="Times New Roman" w:hint="default"/>
        <w:i w:val="0"/>
        <w:iCs w:val="0"/>
        <w:color w:val="auto"/>
        <w:sz w:val="24"/>
        <w:szCs w:val="24"/>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29" w15:restartNumberingAfterBreak="0">
    <w:nsid w:val="666B68BF"/>
    <w:multiLevelType w:val="hybridMultilevel"/>
    <w:tmpl w:val="89EE157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0" w15:restartNumberingAfterBreak="0">
    <w:nsid w:val="683E5F84"/>
    <w:multiLevelType w:val="hybridMultilevel"/>
    <w:tmpl w:val="CA0E183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8F00E1F"/>
    <w:multiLevelType w:val="hybridMultilevel"/>
    <w:tmpl w:val="8940EFB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6A2C73E4"/>
    <w:multiLevelType w:val="hybridMultilevel"/>
    <w:tmpl w:val="0B24DAC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3" w15:restartNumberingAfterBreak="0">
    <w:nsid w:val="6C9E2A24"/>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6D8013D6"/>
    <w:multiLevelType w:val="hybridMultilevel"/>
    <w:tmpl w:val="FF88880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FAB424F"/>
    <w:multiLevelType w:val="hybridMultilevel"/>
    <w:tmpl w:val="3ED49AA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71825C39"/>
    <w:multiLevelType w:val="hybridMultilevel"/>
    <w:tmpl w:val="FADC9452"/>
    <w:lvl w:ilvl="0" w:tplc="FFFFFFFF">
      <w:start w:val="2"/>
      <w:numFmt w:val="bullet"/>
      <w:lvlText w:val="-"/>
      <w:lvlJc w:val="left"/>
      <w:pPr>
        <w:ind w:left="720" w:hanging="360"/>
      </w:pPr>
      <w:rPr>
        <w:rFonts w:ascii="Calibri" w:eastAsia="Times New Roman" w:hAnsi="Calibri" w:hint="default"/>
        <w:sz w:val="1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5576EAA"/>
    <w:multiLevelType w:val="hybridMultilevel"/>
    <w:tmpl w:val="D0865316"/>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7AB66D29"/>
    <w:multiLevelType w:val="hybridMultilevel"/>
    <w:tmpl w:val="FAEE2340"/>
    <w:lvl w:ilvl="0" w:tplc="FFFFFFFF">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BBD67A2"/>
    <w:multiLevelType w:val="hybridMultilevel"/>
    <w:tmpl w:val="12E64DB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7CDB2D29"/>
    <w:multiLevelType w:val="multilevel"/>
    <w:tmpl w:val="2A5439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12"/>
  </w:num>
  <w:num w:numId="3">
    <w:abstractNumId w:val="22"/>
  </w:num>
  <w:num w:numId="4">
    <w:abstractNumId w:val="18"/>
  </w:num>
  <w:num w:numId="5">
    <w:abstractNumId w:val="37"/>
  </w:num>
  <w:num w:numId="6">
    <w:abstractNumId w:val="11"/>
  </w:num>
  <w:num w:numId="7">
    <w:abstractNumId w:val="23"/>
  </w:num>
  <w:num w:numId="8">
    <w:abstractNumId w:val="31"/>
  </w:num>
  <w:num w:numId="9">
    <w:abstractNumId w:val="15"/>
  </w:num>
  <w:num w:numId="10">
    <w:abstractNumId w:val="21"/>
  </w:num>
  <w:num w:numId="11">
    <w:abstractNumId w:val="8"/>
  </w:num>
  <w:num w:numId="12">
    <w:abstractNumId w:val="34"/>
  </w:num>
  <w:num w:numId="13">
    <w:abstractNumId w:val="35"/>
  </w:num>
  <w:num w:numId="14">
    <w:abstractNumId w:val="32"/>
  </w:num>
  <w:num w:numId="15">
    <w:abstractNumId w:val="5"/>
  </w:num>
  <w:num w:numId="16">
    <w:abstractNumId w:val="29"/>
  </w:num>
  <w:num w:numId="17">
    <w:abstractNumId w:val="39"/>
  </w:num>
  <w:num w:numId="18">
    <w:abstractNumId w:val="0"/>
  </w:num>
  <w:num w:numId="19">
    <w:abstractNumId w:val="38"/>
  </w:num>
  <w:num w:numId="20">
    <w:abstractNumId w:val="1"/>
  </w:num>
  <w:num w:numId="21">
    <w:abstractNumId w:val="13"/>
  </w:num>
  <w:num w:numId="22">
    <w:abstractNumId w:val="30"/>
  </w:num>
  <w:num w:numId="23">
    <w:abstractNumId w:val="26"/>
  </w:num>
  <w:num w:numId="24">
    <w:abstractNumId w:val="36"/>
  </w:num>
  <w:num w:numId="25">
    <w:abstractNumId w:val="2"/>
  </w:num>
  <w:num w:numId="26">
    <w:abstractNumId w:val="14"/>
  </w:num>
  <w:num w:numId="27">
    <w:abstractNumId w:val="7"/>
  </w:num>
  <w:num w:numId="28">
    <w:abstractNumId w:val="4"/>
  </w:num>
  <w:num w:numId="29">
    <w:abstractNumId w:val="9"/>
  </w:num>
  <w:num w:numId="30">
    <w:abstractNumId w:val="24"/>
  </w:num>
  <w:num w:numId="31">
    <w:abstractNumId w:val="3"/>
  </w:num>
  <w:num w:numId="32">
    <w:abstractNumId w:val="33"/>
  </w:num>
  <w:num w:numId="33">
    <w:abstractNumId w:val="20"/>
  </w:num>
  <w:num w:numId="34">
    <w:abstractNumId w:val="19"/>
  </w:num>
  <w:num w:numId="35">
    <w:abstractNumId w:val="17"/>
  </w:num>
  <w:num w:numId="36">
    <w:abstractNumId w:val="25"/>
  </w:num>
  <w:num w:numId="37">
    <w:abstractNumId w:val="40"/>
  </w:num>
  <w:num w:numId="38">
    <w:abstractNumId w:val="10"/>
  </w:num>
  <w:num w:numId="39">
    <w:abstractNumId w:val="27"/>
  </w:num>
  <w:num w:numId="40">
    <w:abstractNumId w:val="2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296"/>
  <w:hyphenationZone w:val="396"/>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AD"/>
    <w:rsid w:val="00001106"/>
    <w:rsid w:val="000120DC"/>
    <w:rsid w:val="00023AE3"/>
    <w:rsid w:val="000328A7"/>
    <w:rsid w:val="00033F84"/>
    <w:rsid w:val="00043B4D"/>
    <w:rsid w:val="000469F4"/>
    <w:rsid w:val="00047F89"/>
    <w:rsid w:val="0006219D"/>
    <w:rsid w:val="00071687"/>
    <w:rsid w:val="000A3747"/>
    <w:rsid w:val="000C05FF"/>
    <w:rsid w:val="000C7FC3"/>
    <w:rsid w:val="000D2AB6"/>
    <w:rsid w:val="000E4375"/>
    <w:rsid w:val="000F4806"/>
    <w:rsid w:val="001063AD"/>
    <w:rsid w:val="00116809"/>
    <w:rsid w:val="00145FC4"/>
    <w:rsid w:val="00163279"/>
    <w:rsid w:val="00175CAD"/>
    <w:rsid w:val="00182080"/>
    <w:rsid w:val="0019091D"/>
    <w:rsid w:val="001C1F23"/>
    <w:rsid w:val="001D59F8"/>
    <w:rsid w:val="001E38E0"/>
    <w:rsid w:val="001F21E1"/>
    <w:rsid w:val="001F4A2D"/>
    <w:rsid w:val="00261445"/>
    <w:rsid w:val="00261A51"/>
    <w:rsid w:val="002719E3"/>
    <w:rsid w:val="00290CF8"/>
    <w:rsid w:val="002A594F"/>
    <w:rsid w:val="002C436F"/>
    <w:rsid w:val="002D2401"/>
    <w:rsid w:val="002E304F"/>
    <w:rsid w:val="0031776C"/>
    <w:rsid w:val="00336B45"/>
    <w:rsid w:val="0035284C"/>
    <w:rsid w:val="00360569"/>
    <w:rsid w:val="0039195E"/>
    <w:rsid w:val="00396818"/>
    <w:rsid w:val="003A0087"/>
    <w:rsid w:val="003A74D8"/>
    <w:rsid w:val="003B4F1D"/>
    <w:rsid w:val="003C4257"/>
    <w:rsid w:val="003D3951"/>
    <w:rsid w:val="003D655C"/>
    <w:rsid w:val="003E0CA0"/>
    <w:rsid w:val="003E14C3"/>
    <w:rsid w:val="003E645C"/>
    <w:rsid w:val="0041210A"/>
    <w:rsid w:val="00412F93"/>
    <w:rsid w:val="004135BD"/>
    <w:rsid w:val="00424F89"/>
    <w:rsid w:val="004426C5"/>
    <w:rsid w:val="00446302"/>
    <w:rsid w:val="004474D8"/>
    <w:rsid w:val="00463255"/>
    <w:rsid w:val="00477546"/>
    <w:rsid w:val="00486151"/>
    <w:rsid w:val="004B5A6D"/>
    <w:rsid w:val="004F5AF3"/>
    <w:rsid w:val="004F6F0A"/>
    <w:rsid w:val="00505398"/>
    <w:rsid w:val="0050664E"/>
    <w:rsid w:val="00530535"/>
    <w:rsid w:val="005361D9"/>
    <w:rsid w:val="00540D31"/>
    <w:rsid w:val="00550A6E"/>
    <w:rsid w:val="00551652"/>
    <w:rsid w:val="005544F2"/>
    <w:rsid w:val="00580661"/>
    <w:rsid w:val="0058624D"/>
    <w:rsid w:val="005C0E78"/>
    <w:rsid w:val="005C1E4E"/>
    <w:rsid w:val="005C6DA5"/>
    <w:rsid w:val="005E0CF5"/>
    <w:rsid w:val="005F064C"/>
    <w:rsid w:val="006062CC"/>
    <w:rsid w:val="00606A26"/>
    <w:rsid w:val="006120A2"/>
    <w:rsid w:val="00614735"/>
    <w:rsid w:val="006401C2"/>
    <w:rsid w:val="00642D7C"/>
    <w:rsid w:val="006478D6"/>
    <w:rsid w:val="006740EC"/>
    <w:rsid w:val="00676793"/>
    <w:rsid w:val="00686C43"/>
    <w:rsid w:val="00696A65"/>
    <w:rsid w:val="006C0142"/>
    <w:rsid w:val="006D12D6"/>
    <w:rsid w:val="006D772D"/>
    <w:rsid w:val="00706AE3"/>
    <w:rsid w:val="00706D95"/>
    <w:rsid w:val="00712647"/>
    <w:rsid w:val="00715B23"/>
    <w:rsid w:val="00722969"/>
    <w:rsid w:val="00750C05"/>
    <w:rsid w:val="0076610E"/>
    <w:rsid w:val="0078085D"/>
    <w:rsid w:val="00786641"/>
    <w:rsid w:val="00787725"/>
    <w:rsid w:val="0079620B"/>
    <w:rsid w:val="007A7CC7"/>
    <w:rsid w:val="007C2450"/>
    <w:rsid w:val="007D3B36"/>
    <w:rsid w:val="007D4AF2"/>
    <w:rsid w:val="007E5CD3"/>
    <w:rsid w:val="0081662C"/>
    <w:rsid w:val="00862D80"/>
    <w:rsid w:val="008640D7"/>
    <w:rsid w:val="0086725D"/>
    <w:rsid w:val="008711F3"/>
    <w:rsid w:val="00885290"/>
    <w:rsid w:val="00891333"/>
    <w:rsid w:val="008B1F88"/>
    <w:rsid w:val="008C705B"/>
    <w:rsid w:val="008D1EB9"/>
    <w:rsid w:val="008E0DAD"/>
    <w:rsid w:val="008E54BB"/>
    <w:rsid w:val="008E703F"/>
    <w:rsid w:val="008F00D3"/>
    <w:rsid w:val="008F05B1"/>
    <w:rsid w:val="008F425A"/>
    <w:rsid w:val="00915D97"/>
    <w:rsid w:val="009247AE"/>
    <w:rsid w:val="00947219"/>
    <w:rsid w:val="00951E4B"/>
    <w:rsid w:val="00956174"/>
    <w:rsid w:val="00972104"/>
    <w:rsid w:val="009744D8"/>
    <w:rsid w:val="009850B5"/>
    <w:rsid w:val="009A109D"/>
    <w:rsid w:val="009A39F6"/>
    <w:rsid w:val="009C009A"/>
    <w:rsid w:val="009C01EC"/>
    <w:rsid w:val="009C6040"/>
    <w:rsid w:val="009F1535"/>
    <w:rsid w:val="00A030AA"/>
    <w:rsid w:val="00A053D3"/>
    <w:rsid w:val="00A26F75"/>
    <w:rsid w:val="00A54EEC"/>
    <w:rsid w:val="00A578A3"/>
    <w:rsid w:val="00A62168"/>
    <w:rsid w:val="00A73AF9"/>
    <w:rsid w:val="00A74EE4"/>
    <w:rsid w:val="00A91F13"/>
    <w:rsid w:val="00A92032"/>
    <w:rsid w:val="00A96550"/>
    <w:rsid w:val="00A978C4"/>
    <w:rsid w:val="00AA0B61"/>
    <w:rsid w:val="00AB39D3"/>
    <w:rsid w:val="00AB484A"/>
    <w:rsid w:val="00AB628E"/>
    <w:rsid w:val="00AC2820"/>
    <w:rsid w:val="00AD2F19"/>
    <w:rsid w:val="00AE0196"/>
    <w:rsid w:val="00B07555"/>
    <w:rsid w:val="00B1564F"/>
    <w:rsid w:val="00B3009B"/>
    <w:rsid w:val="00B30EAF"/>
    <w:rsid w:val="00B47715"/>
    <w:rsid w:val="00B74CA3"/>
    <w:rsid w:val="00BB618F"/>
    <w:rsid w:val="00BC7AA8"/>
    <w:rsid w:val="00BF3296"/>
    <w:rsid w:val="00BF433A"/>
    <w:rsid w:val="00C003C0"/>
    <w:rsid w:val="00C01857"/>
    <w:rsid w:val="00C2079E"/>
    <w:rsid w:val="00C222AD"/>
    <w:rsid w:val="00C327A2"/>
    <w:rsid w:val="00C3729B"/>
    <w:rsid w:val="00C41C23"/>
    <w:rsid w:val="00C54860"/>
    <w:rsid w:val="00C64A74"/>
    <w:rsid w:val="00C663B2"/>
    <w:rsid w:val="00C736B7"/>
    <w:rsid w:val="00C80214"/>
    <w:rsid w:val="00C82EBC"/>
    <w:rsid w:val="00CB015D"/>
    <w:rsid w:val="00CB7716"/>
    <w:rsid w:val="00CC6504"/>
    <w:rsid w:val="00CC7A08"/>
    <w:rsid w:val="00D0624D"/>
    <w:rsid w:val="00D124FA"/>
    <w:rsid w:val="00D45AD0"/>
    <w:rsid w:val="00D53FAD"/>
    <w:rsid w:val="00D5511F"/>
    <w:rsid w:val="00D55E80"/>
    <w:rsid w:val="00D63E08"/>
    <w:rsid w:val="00D830E0"/>
    <w:rsid w:val="00D97D37"/>
    <w:rsid w:val="00DA51EE"/>
    <w:rsid w:val="00DB0659"/>
    <w:rsid w:val="00DC2423"/>
    <w:rsid w:val="00DE4C28"/>
    <w:rsid w:val="00DF1695"/>
    <w:rsid w:val="00E13FE4"/>
    <w:rsid w:val="00E2158C"/>
    <w:rsid w:val="00E47A95"/>
    <w:rsid w:val="00E50649"/>
    <w:rsid w:val="00E60D47"/>
    <w:rsid w:val="00E75691"/>
    <w:rsid w:val="00E85350"/>
    <w:rsid w:val="00E91782"/>
    <w:rsid w:val="00EA3EE1"/>
    <w:rsid w:val="00EC6AF2"/>
    <w:rsid w:val="00EE4B98"/>
    <w:rsid w:val="00EE71B3"/>
    <w:rsid w:val="00EF1ED9"/>
    <w:rsid w:val="00F20772"/>
    <w:rsid w:val="00F2135F"/>
    <w:rsid w:val="00F315C6"/>
    <w:rsid w:val="00F331CF"/>
    <w:rsid w:val="00F65693"/>
    <w:rsid w:val="00F93B08"/>
    <w:rsid w:val="00F97925"/>
    <w:rsid w:val="00FA06A7"/>
    <w:rsid w:val="00FB6176"/>
    <w:rsid w:val="00FD149B"/>
    <w:rsid w:val="00FD3180"/>
    <w:rsid w:val="00FD745B"/>
    <w:rsid w:val="00FE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B1061"/>
  <w15:docId w15:val="{D7C5663B-158A-4564-9FF8-27DEA80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45"/>
    <w:pPr>
      <w:spacing w:before="12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6B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36B45"/>
    <w:rPr>
      <w:sz w:val="20"/>
      <w:szCs w:val="20"/>
    </w:rPr>
  </w:style>
  <w:style w:type="character" w:customStyle="1" w:styleId="FootnoteTextChar">
    <w:name w:val="Footnote Text Char"/>
    <w:basedOn w:val="DefaultParagraphFont"/>
    <w:link w:val="FootnoteText"/>
    <w:uiPriority w:val="99"/>
    <w:semiHidden/>
    <w:locked/>
    <w:rsid w:val="00336B45"/>
    <w:rPr>
      <w:rFonts w:cs="Times New Roman"/>
      <w:lang w:val="en-GB" w:eastAsia="en-US"/>
    </w:rPr>
  </w:style>
  <w:style w:type="character" w:styleId="FootnoteReference">
    <w:name w:val="footnote reference"/>
    <w:basedOn w:val="DefaultParagraphFont"/>
    <w:uiPriority w:val="99"/>
    <w:semiHidden/>
    <w:rsid w:val="00336B45"/>
    <w:rPr>
      <w:rFonts w:cs="Times New Roman"/>
      <w:vertAlign w:val="superscript"/>
      <w:lang w:val="en-GB"/>
    </w:rPr>
  </w:style>
  <w:style w:type="character" w:styleId="Hyperlink">
    <w:name w:val="Hyperlink"/>
    <w:basedOn w:val="DefaultParagraphFont"/>
    <w:uiPriority w:val="99"/>
    <w:rsid w:val="00336B45"/>
    <w:rPr>
      <w:rFonts w:cs="Times New Roman"/>
      <w:color w:val="0000FF"/>
      <w:u w:val="single"/>
      <w:lang w:val="en-GB"/>
    </w:rPr>
  </w:style>
  <w:style w:type="character" w:styleId="FollowedHyperlink">
    <w:name w:val="FollowedHyperlink"/>
    <w:basedOn w:val="DefaultParagraphFont"/>
    <w:uiPriority w:val="99"/>
    <w:semiHidden/>
    <w:rsid w:val="00336B45"/>
    <w:rPr>
      <w:rFonts w:cs="Times New Roman"/>
      <w:color w:val="800080"/>
      <w:u w:val="single"/>
      <w:lang w:val="en-GB"/>
    </w:rPr>
  </w:style>
  <w:style w:type="paragraph" w:styleId="Header">
    <w:name w:val="header"/>
    <w:basedOn w:val="Normal"/>
    <w:link w:val="HeaderChar"/>
    <w:uiPriority w:val="99"/>
    <w:rsid w:val="00336B45"/>
    <w:pPr>
      <w:tabs>
        <w:tab w:val="center" w:pos="4819"/>
        <w:tab w:val="right" w:pos="9638"/>
      </w:tabs>
    </w:pPr>
  </w:style>
  <w:style w:type="character" w:customStyle="1" w:styleId="HeaderChar">
    <w:name w:val="Header Char"/>
    <w:basedOn w:val="DefaultParagraphFont"/>
    <w:link w:val="Header"/>
    <w:uiPriority w:val="99"/>
    <w:locked/>
    <w:rsid w:val="00336B45"/>
    <w:rPr>
      <w:rFonts w:cs="Times New Roman"/>
      <w:sz w:val="22"/>
      <w:szCs w:val="22"/>
      <w:lang w:val="en-GB" w:eastAsia="en-US"/>
    </w:rPr>
  </w:style>
  <w:style w:type="paragraph" w:styleId="Footer">
    <w:name w:val="footer"/>
    <w:basedOn w:val="Normal"/>
    <w:link w:val="FooterChar"/>
    <w:uiPriority w:val="99"/>
    <w:rsid w:val="00336B45"/>
    <w:pPr>
      <w:tabs>
        <w:tab w:val="center" w:pos="4819"/>
        <w:tab w:val="right" w:pos="9638"/>
      </w:tabs>
    </w:pPr>
  </w:style>
  <w:style w:type="character" w:customStyle="1" w:styleId="FooterChar">
    <w:name w:val="Footer Char"/>
    <w:basedOn w:val="DefaultParagraphFont"/>
    <w:link w:val="Footer"/>
    <w:uiPriority w:val="99"/>
    <w:locked/>
    <w:rsid w:val="00336B45"/>
    <w:rPr>
      <w:rFonts w:cs="Times New Roman"/>
      <w:sz w:val="22"/>
      <w:szCs w:val="22"/>
      <w:lang w:val="en-GB" w:eastAsia="en-US"/>
    </w:rPr>
  </w:style>
  <w:style w:type="paragraph" w:customStyle="1" w:styleId="DiagramaDiagramaDiagramaDiagrama">
    <w:name w:val="Diagrama Diagrama Diagrama Diagrama"/>
    <w:basedOn w:val="Normal"/>
    <w:uiPriority w:val="99"/>
    <w:rsid w:val="00336B45"/>
    <w:pPr>
      <w:spacing w:before="0" w:after="160" w:line="240" w:lineRule="exact"/>
    </w:pPr>
    <w:rPr>
      <w:rFonts w:ascii="Tahoma" w:hAnsi="Tahoma" w:cs="Tahoma"/>
      <w:sz w:val="20"/>
      <w:szCs w:val="20"/>
    </w:rPr>
  </w:style>
  <w:style w:type="character" w:styleId="CommentReference">
    <w:name w:val="annotation reference"/>
    <w:basedOn w:val="DefaultParagraphFont"/>
    <w:uiPriority w:val="99"/>
    <w:semiHidden/>
    <w:rsid w:val="00336B45"/>
    <w:rPr>
      <w:rFonts w:cs="Times New Roman"/>
      <w:sz w:val="16"/>
      <w:szCs w:val="16"/>
      <w:lang w:val="en-GB"/>
    </w:rPr>
  </w:style>
  <w:style w:type="paragraph" w:styleId="CommentText">
    <w:name w:val="annotation text"/>
    <w:basedOn w:val="Normal"/>
    <w:link w:val="CommentTextChar"/>
    <w:uiPriority w:val="99"/>
    <w:semiHidden/>
    <w:rsid w:val="00336B45"/>
    <w:rPr>
      <w:sz w:val="20"/>
      <w:szCs w:val="20"/>
    </w:rPr>
  </w:style>
  <w:style w:type="character" w:customStyle="1" w:styleId="CommentTextChar">
    <w:name w:val="Comment Text Char"/>
    <w:basedOn w:val="DefaultParagraphFont"/>
    <w:link w:val="CommentText"/>
    <w:uiPriority w:val="99"/>
    <w:semiHidden/>
    <w:locked/>
    <w:rsid w:val="00336B45"/>
    <w:rPr>
      <w:rFonts w:cs="Times New Roman"/>
      <w:lang w:val="en-GB" w:eastAsia="en-US"/>
    </w:rPr>
  </w:style>
  <w:style w:type="paragraph" w:styleId="CommentSubject">
    <w:name w:val="annotation subject"/>
    <w:basedOn w:val="CommentText"/>
    <w:next w:val="CommentText"/>
    <w:link w:val="CommentSubjectChar"/>
    <w:uiPriority w:val="99"/>
    <w:semiHidden/>
    <w:rsid w:val="00336B45"/>
    <w:rPr>
      <w:b/>
      <w:bCs/>
    </w:rPr>
  </w:style>
  <w:style w:type="character" w:customStyle="1" w:styleId="CommentSubjectChar">
    <w:name w:val="Comment Subject Char"/>
    <w:basedOn w:val="CommentTextChar"/>
    <w:link w:val="CommentSubject"/>
    <w:uiPriority w:val="99"/>
    <w:semiHidden/>
    <w:locked/>
    <w:rsid w:val="00336B45"/>
    <w:rPr>
      <w:rFonts w:cs="Times New Roman"/>
      <w:b/>
      <w:bCs/>
      <w:lang w:val="en-GB" w:eastAsia="en-US"/>
    </w:rPr>
  </w:style>
  <w:style w:type="paragraph" w:styleId="BalloonText">
    <w:name w:val="Balloon Text"/>
    <w:basedOn w:val="Normal"/>
    <w:link w:val="BalloonTextChar"/>
    <w:uiPriority w:val="99"/>
    <w:semiHidden/>
    <w:rsid w:val="00336B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B45"/>
    <w:rPr>
      <w:rFonts w:ascii="Tahoma" w:hAnsi="Tahoma" w:cs="Tahoma"/>
      <w:sz w:val="16"/>
      <w:szCs w:val="16"/>
      <w:lang w:val="en-GB" w:eastAsia="en-US"/>
    </w:rPr>
  </w:style>
  <w:style w:type="character" w:customStyle="1" w:styleId="apple-style-span">
    <w:name w:val="apple-style-span"/>
    <w:basedOn w:val="DefaultParagraphFont"/>
    <w:uiPriority w:val="99"/>
    <w:rsid w:val="00336B45"/>
    <w:rPr>
      <w:rFonts w:cs="Times New Roman"/>
      <w:lang w:val="en-GB"/>
    </w:rPr>
  </w:style>
  <w:style w:type="character" w:customStyle="1" w:styleId="CharChar11">
    <w:name w:val="Char Char11"/>
    <w:basedOn w:val="DefaultParagraphFont"/>
    <w:uiPriority w:val="99"/>
    <w:rsid w:val="00145FC4"/>
    <w:rPr>
      <w:rFonts w:cs="Times New Roman"/>
      <w:sz w:val="22"/>
      <w:szCs w:val="22"/>
      <w:lang w:eastAsia="en-US"/>
    </w:rPr>
  </w:style>
  <w:style w:type="character" w:customStyle="1" w:styleId="shorttext">
    <w:name w:val="short_text"/>
    <w:basedOn w:val="DefaultParagraphFont"/>
    <w:rsid w:val="00BC7AA8"/>
  </w:style>
  <w:style w:type="paragraph" w:styleId="ListParagraph">
    <w:name w:val="List Paragraph"/>
    <w:basedOn w:val="Normal"/>
    <w:uiPriority w:val="34"/>
    <w:qFormat/>
    <w:rsid w:val="0055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 „Europos kreditų perkėlimo ir kaupimo sistemos (ECTS) nacionalinės koncepcijos parengimas: kreditų harmonizavimas ir mokymosi pasiekimais grindžiamų studijų programų metodikos kūrimas bei diegimas“ VP1-2</vt:lpstr>
      <vt:lpstr>Projektas „Europos kreditų perkėlimo ir kaupimo sistemos (ECTS) nacionalinės koncepcijos parengimas: kreditų harmonizavimas ir mokymosi pasiekimais grindžiamų studijų programų metodikos kūrimas bei diegimas“ VP1-2</vt:lpstr>
    </vt:vector>
  </TitlesOfParts>
  <Company>VULSK</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„Europos kreditų perkėlimo ir kaupimo sistemos (ECTS) nacionalinės koncepcijos parengimas: kreditų harmonizavimas ir mokymosi pasiekimais grindžiamų studijų programų metodikos kūrimas bei diegimas“ VP1-2</dc:title>
  <dc:creator>Diana</dc:creator>
  <cp:lastModifiedBy>Ausra</cp:lastModifiedBy>
  <cp:revision>7</cp:revision>
  <cp:lastPrinted>2011-03-31T08:04:00Z</cp:lastPrinted>
  <dcterms:created xsi:type="dcterms:W3CDTF">2020-02-03T08:33:00Z</dcterms:created>
  <dcterms:modified xsi:type="dcterms:W3CDTF">2020-02-03T09:18:00Z</dcterms:modified>
</cp:coreProperties>
</file>