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0C" w:rsidRPr="00F4567C" w:rsidRDefault="00F0330C" w:rsidP="00F0330C">
      <w:pPr>
        <w:spacing w:line="360" w:lineRule="auto"/>
        <w:jc w:val="center"/>
        <w:rPr>
          <w:b/>
          <w:lang w:val="lt-LT"/>
        </w:rPr>
      </w:pPr>
      <w:bookmarkStart w:id="0" w:name="_GoBack"/>
      <w:bookmarkEnd w:id="0"/>
      <w:r w:rsidRPr="00F4567C">
        <w:rPr>
          <w:b/>
          <w:lang w:val="lt-LT"/>
        </w:rPr>
        <w:t xml:space="preserve">VU MF </w:t>
      </w:r>
      <w:r w:rsidRPr="00F0330C">
        <w:rPr>
          <w:b/>
          <w:i/>
          <w:lang w:val="lt-LT"/>
        </w:rPr>
        <w:t>2 kurso visuomenės sveikatos  studijų programos</w:t>
      </w:r>
      <w:r w:rsidRPr="00F4567C">
        <w:rPr>
          <w:b/>
          <w:lang w:val="lt-LT"/>
        </w:rPr>
        <w:t xml:space="preserve"> (bakalaurų) </w:t>
      </w:r>
    </w:p>
    <w:p w:rsidR="00F0330C" w:rsidRDefault="00F0330C" w:rsidP="00F0330C">
      <w:pPr>
        <w:spacing w:line="360" w:lineRule="auto"/>
        <w:jc w:val="center"/>
        <w:rPr>
          <w:b/>
          <w:lang w:val="lt-LT"/>
        </w:rPr>
      </w:pPr>
      <w:r w:rsidRPr="00F4567C">
        <w:rPr>
          <w:b/>
          <w:lang w:val="lt-LT"/>
        </w:rPr>
        <w:t>201</w:t>
      </w:r>
      <w:r>
        <w:rPr>
          <w:b/>
          <w:lang w:val="lt-LT"/>
        </w:rPr>
        <w:t>9</w:t>
      </w:r>
      <w:r w:rsidRPr="00F4567C">
        <w:rPr>
          <w:b/>
          <w:lang w:val="lt-LT"/>
        </w:rPr>
        <w:t>-20</w:t>
      </w:r>
      <w:r>
        <w:rPr>
          <w:b/>
          <w:lang w:val="lt-LT"/>
        </w:rPr>
        <w:t>20</w:t>
      </w:r>
      <w:r w:rsidRPr="00F4567C">
        <w:rPr>
          <w:b/>
          <w:lang w:val="lt-LT"/>
        </w:rPr>
        <w:t xml:space="preserve"> m. m. pavasario semestro </w:t>
      </w:r>
    </w:p>
    <w:p w:rsidR="00F0330C" w:rsidRDefault="00F0330C" w:rsidP="00F0330C">
      <w:pPr>
        <w:spacing w:line="360" w:lineRule="auto"/>
        <w:jc w:val="center"/>
        <w:rPr>
          <w:b/>
          <w:lang w:val="lt-LT"/>
        </w:rPr>
      </w:pPr>
      <w:r w:rsidRPr="00F4567C">
        <w:rPr>
          <w:b/>
          <w:lang w:val="lt-LT"/>
        </w:rPr>
        <w:t>Prevencinės medicinos</w:t>
      </w:r>
      <w:r w:rsidRPr="00F4567C">
        <w:rPr>
          <w:lang w:val="lt-LT"/>
        </w:rPr>
        <w:t xml:space="preserve"> </w:t>
      </w:r>
      <w:r w:rsidRPr="00F4567C">
        <w:rPr>
          <w:b/>
          <w:lang w:val="lt-LT"/>
        </w:rPr>
        <w:t>(</w:t>
      </w:r>
      <w:r w:rsidRPr="00F0330C">
        <w:rPr>
          <w:b/>
          <w:u w:val="single"/>
          <w:lang w:val="lt-LT"/>
        </w:rPr>
        <w:t>Farmakologijos pagrindų</w:t>
      </w:r>
      <w:r w:rsidRPr="00F4567C">
        <w:rPr>
          <w:b/>
          <w:lang w:val="lt-LT"/>
        </w:rPr>
        <w:t>) užsiėmimų tvarkaraštis</w:t>
      </w:r>
    </w:p>
    <w:p w:rsidR="00F0330C" w:rsidRDefault="00F0330C" w:rsidP="00F0330C">
      <w:pPr>
        <w:spacing w:line="360" w:lineRule="auto"/>
        <w:jc w:val="center"/>
        <w:rPr>
          <w:b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F0330C" w:rsidTr="00A15403">
        <w:tc>
          <w:tcPr>
            <w:tcW w:w="1696" w:type="dxa"/>
          </w:tcPr>
          <w:p w:rsidR="00F0330C" w:rsidRDefault="00F0330C" w:rsidP="00A15403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Data</w:t>
            </w:r>
          </w:p>
        </w:tc>
        <w:tc>
          <w:tcPr>
            <w:tcW w:w="7932" w:type="dxa"/>
          </w:tcPr>
          <w:p w:rsidR="00F0330C" w:rsidRDefault="00F0330C" w:rsidP="00A15403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Seminarai/konsultacijos</w:t>
            </w:r>
          </w:p>
        </w:tc>
      </w:tr>
      <w:tr w:rsidR="00F0330C" w:rsidTr="00A15403">
        <w:tc>
          <w:tcPr>
            <w:tcW w:w="1696" w:type="dxa"/>
          </w:tcPr>
          <w:p w:rsidR="00F0330C" w:rsidRDefault="00F0330C" w:rsidP="00F0330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Vasario 4 d.</w:t>
            </w:r>
          </w:p>
        </w:tc>
        <w:tc>
          <w:tcPr>
            <w:tcW w:w="7932" w:type="dxa"/>
          </w:tcPr>
          <w:p w:rsidR="00F0330C" w:rsidRPr="004C0725" w:rsidRDefault="00F0330C" w:rsidP="00A15403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proofErr w:type="spellStart"/>
            <w:r w:rsidRPr="004C0725">
              <w:rPr>
                <w:bCs/>
                <w:sz w:val="22"/>
                <w:szCs w:val="22"/>
              </w:rPr>
              <w:t>Farmakologijos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objektas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bCs/>
                <w:sz w:val="22"/>
                <w:szCs w:val="22"/>
              </w:rPr>
              <w:t>Vaistų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klasifikacija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4C0725">
              <w:rPr>
                <w:bCs/>
                <w:sz w:val="22"/>
                <w:szCs w:val="22"/>
              </w:rPr>
              <w:t>grupės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). </w:t>
            </w:r>
            <w:proofErr w:type="spellStart"/>
            <w:r w:rsidRPr="004C0725">
              <w:rPr>
                <w:bCs/>
                <w:sz w:val="22"/>
                <w:szCs w:val="22"/>
              </w:rPr>
              <w:t>Vaistų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formos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0725">
              <w:rPr>
                <w:bCs/>
                <w:sz w:val="22"/>
                <w:szCs w:val="22"/>
              </w:rPr>
              <w:t>talpyklės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0725">
              <w:rPr>
                <w:bCs/>
                <w:sz w:val="22"/>
                <w:szCs w:val="22"/>
              </w:rPr>
              <w:t>vartojimo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būdas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bCs/>
                <w:sz w:val="22"/>
                <w:szCs w:val="22"/>
              </w:rPr>
              <w:t>V</w:t>
            </w:r>
            <w:r w:rsidRPr="004C0725">
              <w:rPr>
                <w:sz w:val="22"/>
                <w:szCs w:val="22"/>
              </w:rPr>
              <w:t>aistų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veikimo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mechanizmai</w:t>
            </w:r>
            <w:proofErr w:type="spellEnd"/>
            <w:r w:rsidRPr="004C0725">
              <w:rPr>
                <w:sz w:val="22"/>
                <w:szCs w:val="22"/>
              </w:rPr>
              <w:t xml:space="preserve">, </w:t>
            </w:r>
            <w:proofErr w:type="spellStart"/>
            <w:r w:rsidRPr="004C0725">
              <w:rPr>
                <w:sz w:val="22"/>
                <w:szCs w:val="22"/>
              </w:rPr>
              <w:t>sąveikos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padariniai</w:t>
            </w:r>
            <w:proofErr w:type="spellEnd"/>
            <w:r w:rsidRPr="004C0725">
              <w:rPr>
                <w:sz w:val="22"/>
                <w:szCs w:val="22"/>
              </w:rPr>
              <w:t xml:space="preserve">, </w:t>
            </w:r>
            <w:proofErr w:type="spellStart"/>
            <w:r w:rsidRPr="004C0725">
              <w:rPr>
                <w:sz w:val="22"/>
                <w:szCs w:val="22"/>
              </w:rPr>
              <w:t>nepageidaujamas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vaistų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poveikis</w:t>
            </w:r>
            <w:proofErr w:type="spellEnd"/>
            <w:r w:rsidRPr="004C0725">
              <w:rPr>
                <w:sz w:val="22"/>
                <w:szCs w:val="22"/>
              </w:rPr>
              <w:t xml:space="preserve">, </w:t>
            </w:r>
            <w:proofErr w:type="spellStart"/>
            <w:r w:rsidRPr="004C0725">
              <w:rPr>
                <w:bCs/>
                <w:sz w:val="22"/>
                <w:szCs w:val="22"/>
              </w:rPr>
              <w:t>farmakologinio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budrumo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principai</w:t>
            </w:r>
            <w:proofErr w:type="spellEnd"/>
            <w:r w:rsidRPr="004C0725">
              <w:rPr>
                <w:bCs/>
                <w:sz w:val="22"/>
                <w:szCs w:val="22"/>
              </w:rPr>
              <w:t>.</w:t>
            </w:r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Farmakogenetika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sz w:val="22"/>
                <w:szCs w:val="22"/>
              </w:rPr>
              <w:t>Veiklą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reglamentuojantys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teisės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aktai</w:t>
            </w:r>
            <w:proofErr w:type="spellEnd"/>
            <w:r w:rsidRPr="004C0725">
              <w:rPr>
                <w:bCs/>
                <w:sz w:val="22"/>
                <w:szCs w:val="22"/>
              </w:rPr>
              <w:t>.</w:t>
            </w:r>
          </w:p>
        </w:tc>
      </w:tr>
      <w:tr w:rsidR="00F0330C" w:rsidTr="00A15403">
        <w:tc>
          <w:tcPr>
            <w:tcW w:w="1696" w:type="dxa"/>
          </w:tcPr>
          <w:p w:rsidR="00F0330C" w:rsidRDefault="00F0330C" w:rsidP="00F0330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Vasario 11 d.</w:t>
            </w:r>
          </w:p>
        </w:tc>
        <w:tc>
          <w:tcPr>
            <w:tcW w:w="7932" w:type="dxa"/>
          </w:tcPr>
          <w:p w:rsidR="00F0330C" w:rsidRPr="004C0725" w:rsidRDefault="00F0330C" w:rsidP="00A15403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proofErr w:type="spellStart"/>
            <w:r w:rsidRPr="004C0725">
              <w:rPr>
                <w:bCs/>
                <w:sz w:val="22"/>
                <w:szCs w:val="22"/>
              </w:rPr>
              <w:t>Farmakoepidemiologija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bCs/>
                <w:sz w:val="22"/>
                <w:szCs w:val="22"/>
              </w:rPr>
              <w:t>Vaistų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vartojimo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tendencijos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Lietuvoje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ir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pasaulyje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bCs/>
                <w:sz w:val="22"/>
                <w:szCs w:val="22"/>
              </w:rPr>
              <w:t>Naujų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vaistų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diegimas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bCs/>
                <w:sz w:val="22"/>
                <w:szCs w:val="22"/>
              </w:rPr>
              <w:t>Klinikiniai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tyrimai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0725">
              <w:rPr>
                <w:bCs/>
                <w:sz w:val="22"/>
                <w:szCs w:val="22"/>
              </w:rPr>
              <w:t>jų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fazės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0725">
              <w:rPr>
                <w:bCs/>
                <w:sz w:val="22"/>
                <w:szCs w:val="22"/>
              </w:rPr>
              <w:t>vertinimas</w:t>
            </w:r>
            <w:proofErr w:type="spellEnd"/>
            <w:r w:rsidRPr="004C0725">
              <w:rPr>
                <w:bCs/>
                <w:sz w:val="22"/>
                <w:szCs w:val="22"/>
              </w:rPr>
              <w:t>.</w:t>
            </w:r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Geros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klinikinės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praktikos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taisyklės</w:t>
            </w:r>
            <w:proofErr w:type="spellEnd"/>
            <w:r w:rsidRPr="004C0725">
              <w:rPr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iCs/>
                <w:sz w:val="22"/>
                <w:szCs w:val="22"/>
              </w:rPr>
              <w:t>Informuoto</w:t>
            </w:r>
            <w:proofErr w:type="spellEnd"/>
            <w:r w:rsidRPr="004C072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iCs/>
                <w:sz w:val="22"/>
                <w:szCs w:val="22"/>
              </w:rPr>
              <w:t>asmens</w:t>
            </w:r>
            <w:proofErr w:type="spellEnd"/>
            <w:r w:rsidRPr="004C072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iCs/>
                <w:sz w:val="22"/>
                <w:szCs w:val="22"/>
              </w:rPr>
              <w:t>sutikimas</w:t>
            </w:r>
            <w:proofErr w:type="spellEnd"/>
            <w:r w:rsidRPr="004C0725">
              <w:rPr>
                <w:iCs/>
                <w:sz w:val="22"/>
                <w:szCs w:val="22"/>
              </w:rPr>
              <w:t>.</w:t>
            </w:r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Farmakopėja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bCs/>
                <w:sz w:val="22"/>
                <w:szCs w:val="22"/>
              </w:rPr>
              <w:t>Vaistų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gavimo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šaltiniai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bCs/>
                <w:sz w:val="22"/>
                <w:szCs w:val="22"/>
              </w:rPr>
              <w:t>Vaistų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registravimas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0725">
              <w:rPr>
                <w:bCs/>
                <w:sz w:val="22"/>
                <w:szCs w:val="22"/>
              </w:rPr>
              <w:t>išrašymas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ir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kompensavimas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bCs/>
                <w:sz w:val="22"/>
                <w:szCs w:val="22"/>
              </w:rPr>
              <w:t>Receptai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bCs/>
                <w:sz w:val="22"/>
                <w:szCs w:val="22"/>
              </w:rPr>
              <w:t>Informacija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apie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vaistus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0725">
              <w:rPr>
                <w:bCs/>
                <w:sz w:val="22"/>
                <w:szCs w:val="22"/>
              </w:rPr>
              <w:t>jos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šaltiniai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0725">
              <w:rPr>
                <w:bCs/>
                <w:sz w:val="22"/>
                <w:szCs w:val="22"/>
              </w:rPr>
              <w:t>vaistų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reklama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ir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jos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kontrolė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sz w:val="22"/>
                <w:szCs w:val="22"/>
              </w:rPr>
              <w:t>Veiklą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reglamentuojantys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teisės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aktai</w:t>
            </w:r>
            <w:proofErr w:type="spellEnd"/>
            <w:r w:rsidRPr="004C0725">
              <w:rPr>
                <w:bCs/>
                <w:sz w:val="22"/>
                <w:szCs w:val="22"/>
              </w:rPr>
              <w:t>.</w:t>
            </w:r>
          </w:p>
        </w:tc>
      </w:tr>
      <w:tr w:rsidR="00F0330C" w:rsidTr="00A15403">
        <w:tc>
          <w:tcPr>
            <w:tcW w:w="1696" w:type="dxa"/>
          </w:tcPr>
          <w:p w:rsidR="00F0330C" w:rsidRDefault="00F0330C" w:rsidP="00F0330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Vasario 18 d.</w:t>
            </w:r>
          </w:p>
        </w:tc>
        <w:tc>
          <w:tcPr>
            <w:tcW w:w="7932" w:type="dxa"/>
          </w:tcPr>
          <w:p w:rsidR="00F0330C" w:rsidRPr="004C0725" w:rsidRDefault="00F0330C" w:rsidP="00A15403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 w:rsidRPr="004C0725">
              <w:rPr>
                <w:bCs/>
                <w:sz w:val="22"/>
                <w:szCs w:val="22"/>
                <w:lang w:val="lt-LT"/>
              </w:rPr>
              <w:t>Narkotinės ir psichotropinės medžiagos ir jų kontrolė.</w:t>
            </w:r>
            <w:r w:rsidRPr="004C0725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Hormoniniai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preparatai</w:t>
            </w:r>
            <w:proofErr w:type="spellEnd"/>
            <w:r w:rsidRPr="004C0725">
              <w:rPr>
                <w:bCs/>
                <w:sz w:val="22"/>
                <w:szCs w:val="22"/>
              </w:rPr>
              <w:t>.</w:t>
            </w:r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Vitaminų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preparatai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ir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jų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vaidmuo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ligų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prevencijai</w:t>
            </w:r>
            <w:proofErr w:type="spellEnd"/>
            <w:r w:rsidRPr="004C0725">
              <w:rPr>
                <w:bCs/>
                <w:sz w:val="22"/>
                <w:szCs w:val="22"/>
              </w:rPr>
              <w:t>.</w:t>
            </w:r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Fitopreparatai</w:t>
            </w:r>
            <w:proofErr w:type="spellEnd"/>
            <w:r w:rsidRPr="004C0725">
              <w:rPr>
                <w:sz w:val="22"/>
                <w:szCs w:val="22"/>
              </w:rPr>
              <w:t xml:space="preserve">, </w:t>
            </w:r>
            <w:proofErr w:type="spellStart"/>
            <w:r w:rsidRPr="004C0725">
              <w:rPr>
                <w:sz w:val="22"/>
                <w:szCs w:val="22"/>
              </w:rPr>
              <w:t>homeopatiniai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preparatai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ir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maisto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papildai</w:t>
            </w:r>
            <w:proofErr w:type="spellEnd"/>
            <w:r w:rsidRPr="004C0725">
              <w:rPr>
                <w:sz w:val="22"/>
                <w:szCs w:val="22"/>
              </w:rPr>
              <w:t xml:space="preserve">, </w:t>
            </w:r>
            <w:proofErr w:type="spellStart"/>
            <w:r w:rsidRPr="004C0725">
              <w:rPr>
                <w:sz w:val="22"/>
                <w:szCs w:val="22"/>
              </w:rPr>
              <w:t>jų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sąveika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su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vaistais</w:t>
            </w:r>
            <w:proofErr w:type="spellEnd"/>
            <w:r w:rsidRPr="004C0725">
              <w:rPr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sz w:val="22"/>
                <w:szCs w:val="22"/>
              </w:rPr>
              <w:t>Vaistų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poveikis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ir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jų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skyrimas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nėštumo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ir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žindymo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laikotarpiais</w:t>
            </w:r>
            <w:proofErr w:type="spellEnd"/>
            <w:r w:rsidRPr="004C0725">
              <w:rPr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sz w:val="22"/>
                <w:szCs w:val="22"/>
              </w:rPr>
              <w:t>Vaistų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skyrimo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vaikams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ir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senyviems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asmenims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ypatumai</w:t>
            </w:r>
            <w:proofErr w:type="spellEnd"/>
            <w:r w:rsidRPr="004C0725">
              <w:rPr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sz w:val="22"/>
                <w:szCs w:val="22"/>
              </w:rPr>
              <w:t>Polifarmacija</w:t>
            </w:r>
            <w:proofErr w:type="spellEnd"/>
            <w:r w:rsidRPr="004C0725">
              <w:rPr>
                <w:sz w:val="22"/>
                <w:szCs w:val="22"/>
              </w:rPr>
              <w:t xml:space="preserve">, </w:t>
            </w:r>
            <w:proofErr w:type="spellStart"/>
            <w:r w:rsidRPr="004C0725">
              <w:rPr>
                <w:sz w:val="22"/>
                <w:szCs w:val="22"/>
              </w:rPr>
              <w:t>būdingos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nepageidaujamos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reakcijos</w:t>
            </w:r>
            <w:proofErr w:type="spellEnd"/>
            <w:r w:rsidRPr="004C0725">
              <w:rPr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sz w:val="22"/>
                <w:szCs w:val="22"/>
              </w:rPr>
              <w:t>Veiklą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reglamentuojantys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teisės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aktai</w:t>
            </w:r>
            <w:proofErr w:type="spellEnd"/>
            <w:r w:rsidRPr="004C0725">
              <w:rPr>
                <w:sz w:val="22"/>
                <w:szCs w:val="22"/>
              </w:rPr>
              <w:t>.</w:t>
            </w:r>
          </w:p>
        </w:tc>
      </w:tr>
      <w:tr w:rsidR="00F0330C" w:rsidTr="00A15403">
        <w:tc>
          <w:tcPr>
            <w:tcW w:w="1696" w:type="dxa"/>
          </w:tcPr>
          <w:p w:rsidR="00F0330C" w:rsidRDefault="00F0330C" w:rsidP="00F0330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Vasario 25 d.</w:t>
            </w:r>
          </w:p>
        </w:tc>
        <w:tc>
          <w:tcPr>
            <w:tcW w:w="7932" w:type="dxa"/>
          </w:tcPr>
          <w:p w:rsidR="00F0330C" w:rsidRPr="004C0725" w:rsidRDefault="00F0330C" w:rsidP="00A15403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proofErr w:type="spellStart"/>
            <w:r w:rsidRPr="004C0725">
              <w:rPr>
                <w:bCs/>
                <w:sz w:val="22"/>
                <w:szCs w:val="22"/>
              </w:rPr>
              <w:t>Dezinfekuojančios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ir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antiseptinės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medžiagos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bCs/>
                <w:sz w:val="22"/>
                <w:szCs w:val="22"/>
              </w:rPr>
              <w:t>Priešinfekciniai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vaistai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bCs/>
                <w:sz w:val="22"/>
                <w:szCs w:val="22"/>
              </w:rPr>
              <w:t>Racionalaus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antimikrobinių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vaistų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vartojimo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svarba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bCs/>
                <w:sz w:val="22"/>
                <w:szCs w:val="22"/>
              </w:rPr>
              <w:t>Visuomenės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švietimas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ir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mokymas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atsakingo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vaistų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vartojimo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klausimais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0725">
              <w:rPr>
                <w:bCs/>
                <w:sz w:val="22"/>
                <w:szCs w:val="22"/>
              </w:rPr>
              <w:t>paciento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informavimas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ir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bCs/>
                <w:sz w:val="22"/>
                <w:szCs w:val="22"/>
              </w:rPr>
              <w:t>mokymas</w:t>
            </w:r>
            <w:proofErr w:type="spellEnd"/>
            <w:r w:rsidRPr="004C072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C0725">
              <w:rPr>
                <w:sz w:val="22"/>
                <w:szCs w:val="22"/>
              </w:rPr>
              <w:t>Veiklą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reglamentuojantys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teisės</w:t>
            </w:r>
            <w:proofErr w:type="spellEnd"/>
            <w:r w:rsidRPr="004C0725">
              <w:rPr>
                <w:sz w:val="22"/>
                <w:szCs w:val="22"/>
              </w:rPr>
              <w:t xml:space="preserve"> </w:t>
            </w:r>
            <w:proofErr w:type="spellStart"/>
            <w:r w:rsidRPr="004C0725">
              <w:rPr>
                <w:sz w:val="22"/>
                <w:szCs w:val="22"/>
              </w:rPr>
              <w:t>aktai</w:t>
            </w:r>
            <w:proofErr w:type="spellEnd"/>
            <w:r w:rsidRPr="004C0725">
              <w:rPr>
                <w:sz w:val="22"/>
                <w:szCs w:val="22"/>
              </w:rPr>
              <w:t>.</w:t>
            </w:r>
          </w:p>
        </w:tc>
      </w:tr>
    </w:tbl>
    <w:p w:rsidR="00F0330C" w:rsidRDefault="00F0330C" w:rsidP="00F0330C">
      <w:pPr>
        <w:spacing w:line="360" w:lineRule="auto"/>
        <w:jc w:val="center"/>
        <w:rPr>
          <w:b/>
          <w:lang w:val="lt-LT"/>
        </w:rPr>
      </w:pPr>
    </w:p>
    <w:p w:rsidR="00F0330C" w:rsidRDefault="00F0330C" w:rsidP="00F0330C">
      <w:pPr>
        <w:jc w:val="center"/>
      </w:pPr>
    </w:p>
    <w:p w:rsidR="00700E90" w:rsidRDefault="00700E90"/>
    <w:sectPr w:rsidR="00700E9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0C"/>
    <w:rsid w:val="002456B8"/>
    <w:rsid w:val="00700E90"/>
    <w:rsid w:val="00F0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1EAC0-6183-4668-95B3-3C1E80C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0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Budrikienė</dc:creator>
  <cp:keywords/>
  <dc:description/>
  <cp:lastModifiedBy>Ausra</cp:lastModifiedBy>
  <cp:revision>2</cp:revision>
  <cp:lastPrinted>2020-01-23T05:40:00Z</cp:lastPrinted>
  <dcterms:created xsi:type="dcterms:W3CDTF">2020-01-23T08:29:00Z</dcterms:created>
  <dcterms:modified xsi:type="dcterms:W3CDTF">2020-01-23T08:29:00Z</dcterms:modified>
</cp:coreProperties>
</file>